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C2927" w14:textId="048B9495" w:rsidR="0010792E" w:rsidRPr="00D52B7F" w:rsidRDefault="0010792E" w:rsidP="0010792E">
      <w:pPr>
        <w:pStyle w:val="CRCoverPage"/>
        <w:tabs>
          <w:tab w:val="right" w:pos="9639"/>
        </w:tabs>
        <w:spacing w:after="0"/>
        <w:rPr>
          <w:rFonts w:eastAsia="SimSun" w:cs="Arial"/>
          <w:b/>
          <w:iCs/>
          <w:sz w:val="24"/>
          <w:szCs w:val="24"/>
        </w:rPr>
      </w:pPr>
      <w:r w:rsidRPr="00EE422F">
        <w:rPr>
          <w:rFonts w:eastAsia="SimSun" w:cs="Arial"/>
          <w:b/>
          <w:sz w:val="24"/>
          <w:szCs w:val="24"/>
        </w:rPr>
        <w:t>3GPP TSG-RAN WG4 Meeting #1</w:t>
      </w:r>
      <w:r w:rsidR="000F6DA5">
        <w:rPr>
          <w:rFonts w:eastAsia="SimSun" w:cs="Arial"/>
          <w:b/>
          <w:sz w:val="24"/>
          <w:szCs w:val="24"/>
        </w:rPr>
        <w:t>10</w:t>
      </w:r>
      <w:r>
        <w:rPr>
          <w:b/>
          <w:i/>
          <w:noProof/>
          <w:sz w:val="28"/>
        </w:rPr>
        <w:tab/>
      </w:r>
      <w:r w:rsidR="00D52B7F" w:rsidRPr="00D52B7F">
        <w:rPr>
          <w:b/>
          <w:iCs/>
          <w:noProof/>
          <w:sz w:val="28"/>
        </w:rPr>
        <w:t>R4-2401438</w:t>
      </w:r>
    </w:p>
    <w:p w14:paraId="14A37C7C" w14:textId="00411FC0" w:rsidR="0010792E" w:rsidRDefault="000F6DA5" w:rsidP="0010792E">
      <w:pPr>
        <w:pStyle w:val="CRCoverPage"/>
        <w:outlineLvl w:val="0"/>
        <w:rPr>
          <w:b/>
          <w:noProof/>
          <w:sz w:val="24"/>
        </w:rPr>
      </w:pPr>
      <w:r>
        <w:rPr>
          <w:rFonts w:eastAsia="SimSun"/>
          <w:b/>
          <w:sz w:val="24"/>
        </w:rPr>
        <w:t>Athens</w:t>
      </w:r>
      <w:r w:rsidR="0010792E" w:rsidRPr="008C39F7">
        <w:rPr>
          <w:rFonts w:eastAsia="SimSun"/>
          <w:b/>
          <w:sz w:val="24"/>
        </w:rPr>
        <w:t xml:space="preserve">, </w:t>
      </w:r>
      <w:r>
        <w:rPr>
          <w:rFonts w:eastAsia="SimSun"/>
          <w:b/>
          <w:sz w:val="24"/>
        </w:rPr>
        <w:t>Greece</w:t>
      </w:r>
      <w:r w:rsidR="0010792E">
        <w:rPr>
          <w:rFonts w:eastAsia="SimSun"/>
          <w:b/>
          <w:sz w:val="24"/>
        </w:rPr>
        <w:t xml:space="preserve">, </w:t>
      </w:r>
      <w:r>
        <w:rPr>
          <w:rFonts w:eastAsia="SimSun"/>
          <w:b/>
          <w:sz w:val="24"/>
        </w:rPr>
        <w:t>February 26</w:t>
      </w:r>
      <w:r w:rsidRPr="000F6DA5">
        <w:rPr>
          <w:rFonts w:eastAsia="SimSun"/>
          <w:b/>
          <w:sz w:val="24"/>
          <w:vertAlign w:val="superscript"/>
        </w:rPr>
        <w:t>th</w:t>
      </w:r>
      <w:r>
        <w:rPr>
          <w:rFonts w:eastAsia="SimSun"/>
          <w:b/>
          <w:sz w:val="24"/>
        </w:rPr>
        <w:t xml:space="preserve"> – March 1</w:t>
      </w:r>
      <w:r w:rsidRPr="000F6DA5">
        <w:rPr>
          <w:rFonts w:eastAsia="SimSun"/>
          <w:b/>
          <w:sz w:val="24"/>
          <w:vertAlign w:val="superscript"/>
        </w:rPr>
        <w:t>st</w:t>
      </w:r>
      <w:r w:rsidR="0010792E" w:rsidRPr="008C39F7">
        <w:rPr>
          <w:rFonts w:eastAsia="SimSun"/>
          <w:b/>
          <w:sz w:val="24"/>
        </w:rPr>
        <w:t>, 202</w:t>
      </w:r>
      <w:r>
        <w:rPr>
          <w:rFonts w:eastAsia="SimSun"/>
          <w:b/>
          <w:sz w:val="24"/>
        </w:rPr>
        <w:t>4</w:t>
      </w:r>
    </w:p>
    <w:p w14:paraId="24147382"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A00A75"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79BE083C" w14:textId="1DC954CE"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CC1A0B" w:rsidRPr="00CC1A0B">
        <w:rPr>
          <w:rFonts w:ascii="Arial" w:eastAsia="Calibri" w:hAnsi="Arial" w:cs="Arial"/>
          <w:b/>
          <w:bCs/>
          <w:sz w:val="24"/>
          <w:szCs w:val="24"/>
        </w:rPr>
        <w:t>On multi-Rx performance requirements</w:t>
      </w:r>
    </w:p>
    <w:p w14:paraId="0A4EEEEB" w14:textId="6235E867"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4E3676">
        <w:rPr>
          <w:rFonts w:ascii="Arial" w:eastAsia="MS Mincho" w:hAnsi="Arial" w:cs="Arial"/>
          <w:b/>
          <w:bCs/>
          <w:sz w:val="24"/>
          <w:szCs w:val="20"/>
        </w:rPr>
        <w:t>8.3.</w:t>
      </w:r>
      <w:r w:rsidR="004E3676" w:rsidRPr="00342AE8">
        <w:rPr>
          <w:rFonts w:ascii="Arial" w:eastAsia="MS Mincho" w:hAnsi="Arial" w:cs="Arial"/>
          <w:b/>
          <w:bCs/>
          <w:sz w:val="24"/>
          <w:szCs w:val="20"/>
        </w:rPr>
        <w:t>3</w:t>
      </w:r>
    </w:p>
    <w:p w14:paraId="1130706F"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246DD583" w14:textId="77777777" w:rsidR="00841BCD" w:rsidRPr="00EF698B" w:rsidRDefault="00841BCD" w:rsidP="00A37002">
      <w:pPr>
        <w:pStyle w:val="RAN4H1"/>
        <w:rPr>
          <w:lang w:val="en-US"/>
        </w:rPr>
      </w:pPr>
      <w:bookmarkStart w:id="0" w:name="_Toc116995841"/>
      <w:r w:rsidRPr="00EF698B">
        <w:rPr>
          <w:lang w:val="en-US"/>
        </w:rPr>
        <w:t>Intro</w:t>
      </w:r>
      <w:r w:rsidRPr="00EF698B">
        <w:rPr>
          <w:rStyle w:val="RAN4H1Char"/>
          <w:lang w:val="en-US"/>
        </w:rPr>
        <w:t>ductio</w:t>
      </w:r>
      <w:r w:rsidRPr="00EF698B">
        <w:rPr>
          <w:lang w:val="en-US"/>
        </w:rPr>
        <w:t>n</w:t>
      </w:r>
      <w:bookmarkEnd w:id="0"/>
    </w:p>
    <w:p w14:paraId="7A13DAA4" w14:textId="11018B8F" w:rsidR="009C74FF" w:rsidRDefault="00617326" w:rsidP="000335CE">
      <w:pPr>
        <w:rPr>
          <w:rStyle w:val="normaltextrun"/>
          <w:color w:val="000000"/>
          <w:shd w:val="clear" w:color="auto" w:fill="FFFFFF"/>
        </w:rPr>
      </w:pPr>
      <w:r w:rsidRPr="5DAFA8A0">
        <w:rPr>
          <w:rStyle w:val="normaltextrun"/>
          <w:color w:val="000000"/>
          <w:shd w:val="clear" w:color="auto" w:fill="FFFFFF"/>
        </w:rPr>
        <w:t xml:space="preserve">RAN4 work on multi-Rx chain reception core requirements </w:t>
      </w:r>
      <w:r w:rsidR="00FB493E" w:rsidRPr="5DAFA8A0">
        <w:rPr>
          <w:rStyle w:val="normaltextrun"/>
          <w:color w:val="000000"/>
          <w:shd w:val="clear" w:color="auto" w:fill="FFFFFF"/>
        </w:rPr>
        <w:t>was completed in RAN4#109 meeting</w:t>
      </w:r>
      <w:r w:rsidRPr="5DAFA8A0">
        <w:rPr>
          <w:rStyle w:val="normaltextrun"/>
          <w:color w:val="000000"/>
          <w:shd w:val="clear" w:color="auto" w:fill="FFFFFF"/>
        </w:rPr>
        <w:t xml:space="preserve">, and the performance part of the WI </w:t>
      </w:r>
      <w:r w:rsidR="00FB493E" w:rsidRPr="5DAFA8A0">
        <w:rPr>
          <w:rStyle w:val="normaltextrun"/>
          <w:color w:val="000000"/>
          <w:shd w:val="clear" w:color="auto" w:fill="FFFFFF"/>
        </w:rPr>
        <w:t>may now fully start</w:t>
      </w:r>
      <w:r w:rsidRPr="5DAFA8A0">
        <w:rPr>
          <w:rStyle w:val="normaltextrun"/>
          <w:color w:val="000000"/>
          <w:shd w:val="clear" w:color="auto" w:fill="FFFFFF"/>
        </w:rPr>
        <w:t xml:space="preserve">. </w:t>
      </w:r>
      <w:r w:rsidR="009C74FF" w:rsidRPr="5DAFA8A0">
        <w:rPr>
          <w:rStyle w:val="normaltextrun"/>
          <w:color w:val="000000"/>
          <w:shd w:val="clear" w:color="auto" w:fill="FFFFFF"/>
        </w:rPr>
        <w:t xml:space="preserve">Proposals for the performance part </w:t>
      </w:r>
      <w:r w:rsidR="00867372" w:rsidRPr="5DAFA8A0">
        <w:rPr>
          <w:rStyle w:val="normaltextrun"/>
          <w:color w:val="000000" w:themeColor="text1"/>
        </w:rPr>
        <w:t>based on RAN4#109 meeting</w:t>
      </w:r>
      <w:r w:rsidR="00867372" w:rsidRPr="5DAFA8A0">
        <w:rPr>
          <w:rStyle w:val="normaltextrun"/>
          <w:color w:val="000000"/>
          <w:shd w:val="clear" w:color="auto" w:fill="FFFFFF"/>
        </w:rPr>
        <w:t xml:space="preserve"> contributions </w:t>
      </w:r>
      <w:r w:rsidR="009C74FF" w:rsidRPr="5DAFA8A0">
        <w:rPr>
          <w:rStyle w:val="normaltextrun"/>
          <w:color w:val="000000"/>
          <w:shd w:val="clear" w:color="auto" w:fill="FFFFFF"/>
        </w:rPr>
        <w:t>were captured in WF in [1]</w:t>
      </w:r>
      <w:r w:rsidR="00867372" w:rsidRPr="5DAFA8A0">
        <w:rPr>
          <w:rStyle w:val="normaltextrun"/>
          <w:color w:val="000000" w:themeColor="text1"/>
        </w:rPr>
        <w:t xml:space="preserve">, but the discussion related to the proposals until now has been </w:t>
      </w:r>
      <w:r w:rsidR="00867372" w:rsidRPr="5DAFA8A0">
        <w:rPr>
          <w:rStyle w:val="normaltextrun"/>
          <w:color w:val="000000"/>
          <w:shd w:val="clear" w:color="auto" w:fill="FFFFFF"/>
        </w:rPr>
        <w:t>very limited</w:t>
      </w:r>
      <w:r w:rsidR="009C74FF" w:rsidRPr="5DAFA8A0">
        <w:rPr>
          <w:rStyle w:val="normaltextrun"/>
          <w:color w:val="000000"/>
          <w:shd w:val="clear" w:color="auto" w:fill="FFFFFF"/>
        </w:rPr>
        <w:t xml:space="preserve">. </w:t>
      </w:r>
    </w:p>
    <w:p w14:paraId="5822C9C7" w14:textId="7FE48654" w:rsidR="00BD6D06" w:rsidRDefault="00617326" w:rsidP="000335CE">
      <w:pPr>
        <w:rPr>
          <w:rStyle w:val="normaltextrun"/>
          <w:color w:val="000000"/>
          <w:szCs w:val="20"/>
          <w:shd w:val="clear" w:color="auto" w:fill="FFFFFF"/>
        </w:rPr>
      </w:pPr>
      <w:r>
        <w:rPr>
          <w:rStyle w:val="normaltextrun"/>
          <w:color w:val="000000"/>
          <w:szCs w:val="20"/>
          <w:shd w:val="clear" w:color="auto" w:fill="FFFFFF"/>
        </w:rPr>
        <w:t xml:space="preserve">In this contribution we summarize the core part requirements that have been defined in the multi-Rx work item and discuss the test cases that we </w:t>
      </w:r>
      <w:r w:rsidR="00563473">
        <w:rPr>
          <w:rStyle w:val="normaltextrun"/>
          <w:color w:val="000000"/>
          <w:szCs w:val="20"/>
          <w:shd w:val="clear" w:color="auto" w:fill="FFFFFF"/>
        </w:rPr>
        <w:t xml:space="preserve">believe are </w:t>
      </w:r>
      <w:r>
        <w:rPr>
          <w:rStyle w:val="normaltextrun"/>
          <w:color w:val="000000"/>
          <w:szCs w:val="20"/>
          <w:shd w:val="clear" w:color="auto" w:fill="FFFFFF"/>
        </w:rPr>
        <w:t>needed for these requirements</w:t>
      </w:r>
      <w:r w:rsidR="0010792E">
        <w:rPr>
          <w:rStyle w:val="normaltextrun"/>
          <w:color w:val="000000"/>
          <w:szCs w:val="20"/>
          <w:shd w:val="clear" w:color="auto" w:fill="FFFFFF"/>
        </w:rPr>
        <w:t>, as well as some details of the setup for the test cases</w:t>
      </w:r>
      <w:r w:rsidR="00A22C86">
        <w:rPr>
          <w:rStyle w:val="normaltextrun"/>
          <w:color w:val="000000"/>
          <w:szCs w:val="20"/>
          <w:shd w:val="clear" w:color="auto" w:fill="FFFFFF"/>
        </w:rPr>
        <w:t xml:space="preserve"> and accuracy requirements.</w:t>
      </w:r>
    </w:p>
    <w:p w14:paraId="3848A663" w14:textId="620437ED" w:rsidR="009A794E" w:rsidRDefault="009A794E" w:rsidP="00BD6D06">
      <w:pPr>
        <w:pStyle w:val="RAN4H1"/>
        <w:rPr>
          <w:rStyle w:val="normaltextrun"/>
          <w:color w:val="000000"/>
          <w:shd w:val="clear" w:color="auto" w:fill="FFFFFF"/>
        </w:rPr>
      </w:pPr>
      <w:r>
        <w:rPr>
          <w:rStyle w:val="normaltextrun"/>
          <w:color w:val="000000"/>
          <w:shd w:val="clear" w:color="auto" w:fill="FFFFFF"/>
        </w:rPr>
        <w:t>Agreed core part requirements</w:t>
      </w:r>
    </w:p>
    <w:p w14:paraId="1CCDC296" w14:textId="7EDD749F" w:rsidR="009A794E" w:rsidRDefault="009A794E" w:rsidP="009A794E">
      <w:pPr>
        <w:rPr>
          <w:lang w:val="en-GB"/>
        </w:rPr>
      </w:pPr>
      <w:r>
        <w:rPr>
          <w:lang w:val="en-GB"/>
        </w:rPr>
        <w:t>In Table 1 we summarize the core part changes that have been agreed in the multi-Rx WI.</w:t>
      </w:r>
    </w:p>
    <w:tbl>
      <w:tblPr>
        <w:tblW w:w="9629" w:type="dxa"/>
        <w:tblBorders>
          <w:top w:val="single" w:sz="8" w:space="0" w:color="A3A3A3"/>
          <w:left w:val="single" w:sz="8" w:space="0" w:color="A3A3A3"/>
          <w:bottom w:val="single" w:sz="8" w:space="0" w:color="A3A3A3"/>
          <w:right w:val="single" w:sz="8" w:space="0" w:color="A3A3A3"/>
        </w:tblBorders>
        <w:tblCellMar>
          <w:top w:w="113" w:type="dxa"/>
          <w:left w:w="113" w:type="dxa"/>
          <w:bottom w:w="113" w:type="dxa"/>
          <w:right w:w="113" w:type="dxa"/>
        </w:tblCellMar>
        <w:tblLook w:val="04A0" w:firstRow="1" w:lastRow="0" w:firstColumn="1" w:lastColumn="0" w:noHBand="0" w:noVBand="1"/>
      </w:tblPr>
      <w:tblGrid>
        <w:gridCol w:w="2277"/>
        <w:gridCol w:w="4627"/>
        <w:gridCol w:w="2725"/>
      </w:tblGrid>
      <w:tr w:rsidR="00117930" w:rsidRPr="00F949B8" w14:paraId="64FF515F" w14:textId="77777777" w:rsidTr="5523672F">
        <w:tc>
          <w:tcPr>
            <w:tcW w:w="22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E6F901" w14:textId="77777777" w:rsidR="00117930" w:rsidRPr="00617326" w:rsidRDefault="00117930">
            <w:pPr>
              <w:spacing w:after="120" w:line="240" w:lineRule="auto"/>
              <w:contextualSpacing/>
              <w:rPr>
                <w:rFonts w:eastAsia="Times New Roman" w:cs="Times New Roman"/>
                <w:b/>
                <w:bCs/>
                <w:szCs w:val="20"/>
                <w:lang w:val="en-GB"/>
              </w:rPr>
            </w:pPr>
            <w:r w:rsidRPr="00F949B8">
              <w:rPr>
                <w:rFonts w:eastAsia="Times New Roman" w:cs="Times New Roman"/>
                <w:b/>
                <w:bCs/>
                <w:szCs w:val="20"/>
                <w:lang w:val="en-GB"/>
              </w:rPr>
              <w:t>Clause</w:t>
            </w:r>
          </w:p>
        </w:tc>
        <w:tc>
          <w:tcPr>
            <w:tcW w:w="46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EB9186" w14:textId="77777777" w:rsidR="00117930" w:rsidRPr="00617326" w:rsidRDefault="00117930">
            <w:pPr>
              <w:spacing w:after="120" w:line="240" w:lineRule="auto"/>
              <w:contextualSpacing/>
              <w:rPr>
                <w:rFonts w:eastAsia="Times New Roman" w:cs="Times New Roman"/>
                <w:b/>
                <w:bCs/>
                <w:szCs w:val="20"/>
                <w:lang w:val="en-GB"/>
              </w:rPr>
            </w:pPr>
            <w:r w:rsidRPr="00F949B8">
              <w:rPr>
                <w:rFonts w:eastAsia="Times New Roman" w:cs="Times New Roman"/>
                <w:b/>
                <w:bCs/>
                <w:szCs w:val="20"/>
                <w:lang w:val="en-GB"/>
              </w:rPr>
              <w:t>Captured requirements</w:t>
            </w:r>
            <w:r>
              <w:rPr>
                <w:rFonts w:eastAsia="Times New Roman" w:cs="Times New Roman"/>
                <w:b/>
                <w:bCs/>
                <w:szCs w:val="20"/>
                <w:lang w:val="en-GB"/>
              </w:rPr>
              <w:t xml:space="preserve"> for multi-Rx in the core part</w:t>
            </w:r>
          </w:p>
        </w:tc>
        <w:tc>
          <w:tcPr>
            <w:tcW w:w="2725" w:type="dxa"/>
            <w:tcBorders>
              <w:top w:val="single" w:sz="8" w:space="0" w:color="A3A3A3"/>
              <w:left w:val="single" w:sz="8" w:space="0" w:color="A3A3A3"/>
              <w:bottom w:val="single" w:sz="8" w:space="0" w:color="A3A3A3"/>
              <w:right w:val="single" w:sz="8" w:space="0" w:color="A3A3A3"/>
            </w:tcBorders>
            <w:tcMar>
              <w:right w:w="57" w:type="dxa"/>
            </w:tcMar>
          </w:tcPr>
          <w:p w14:paraId="0B3AACAE" w14:textId="77777777" w:rsidR="00117930" w:rsidRPr="00F949B8" w:rsidRDefault="00117930">
            <w:pPr>
              <w:spacing w:after="120" w:line="240" w:lineRule="auto"/>
              <w:contextualSpacing/>
              <w:rPr>
                <w:rFonts w:eastAsia="Times New Roman" w:cs="Times New Roman"/>
                <w:b/>
                <w:bCs/>
                <w:szCs w:val="20"/>
                <w:lang w:val="en-GB"/>
              </w:rPr>
            </w:pPr>
            <w:r>
              <w:rPr>
                <w:rFonts w:eastAsia="Times New Roman" w:cs="Times New Roman"/>
                <w:b/>
                <w:bCs/>
                <w:szCs w:val="20"/>
                <w:lang w:val="en-GB"/>
              </w:rPr>
              <w:t>Comments</w:t>
            </w:r>
          </w:p>
        </w:tc>
      </w:tr>
      <w:tr w:rsidR="00117930" w14:paraId="10458995" w14:textId="77777777" w:rsidTr="5523672F">
        <w:tc>
          <w:tcPr>
            <w:tcW w:w="22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E19243" w14:textId="77777777" w:rsidR="00117930" w:rsidRPr="00617326" w:rsidRDefault="00117930">
            <w:pPr>
              <w:spacing w:after="120" w:line="240" w:lineRule="auto"/>
              <w:contextualSpacing/>
              <w:rPr>
                <w:rFonts w:eastAsia="Times New Roman" w:cs="Times New Roman"/>
                <w:szCs w:val="20"/>
                <w:lang w:val="en-GB"/>
              </w:rPr>
            </w:pPr>
            <w:r>
              <w:rPr>
                <w:rFonts w:eastAsia="Times New Roman" w:cs="Times New Roman"/>
                <w:szCs w:val="20"/>
                <w:lang w:val="en-GB"/>
              </w:rPr>
              <w:t xml:space="preserve">8.1 </w:t>
            </w:r>
            <w:r w:rsidRPr="009C5807">
              <w:t>Radio Link Monitoring</w:t>
            </w:r>
          </w:p>
        </w:tc>
        <w:tc>
          <w:tcPr>
            <w:tcW w:w="46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B4EBA2" w14:textId="77777777" w:rsidR="00117930" w:rsidRPr="000073D8" w:rsidRDefault="00117930">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N-factor reduction for evaluation period</w:t>
            </w:r>
            <w:r>
              <w:rPr>
                <w:rFonts w:eastAsia="Times New Roman" w:cs="Times New Roman"/>
                <w:szCs w:val="20"/>
                <w:lang w:val="en-GB"/>
              </w:rPr>
              <w:t>s</w:t>
            </w:r>
            <w:r w:rsidRPr="000073D8">
              <w:rPr>
                <w:rFonts w:eastAsia="Times New Roman" w:cs="Times New Roman"/>
                <w:szCs w:val="20"/>
                <w:lang w:val="en-GB"/>
              </w:rPr>
              <w:t xml:space="preserve"> for SSB-based RLM</w:t>
            </w:r>
          </w:p>
          <w:p w14:paraId="78C070C7" w14:textId="77777777" w:rsidR="00117930" w:rsidRPr="000073D8" w:rsidRDefault="00117930">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Measurement restriction relaxation for CSI-RS based RLM</w:t>
            </w:r>
          </w:p>
          <w:p w14:paraId="09B374B6" w14:textId="77777777" w:rsidR="00117930" w:rsidRPr="008E43BB" w:rsidRDefault="00117930">
            <w:pPr>
              <w:pStyle w:val="ListParagraph"/>
              <w:numPr>
                <w:ilvl w:val="0"/>
                <w:numId w:val="24"/>
              </w:numPr>
              <w:spacing w:after="120" w:line="240" w:lineRule="auto"/>
              <w:rPr>
                <w:rFonts w:eastAsia="Times New Roman" w:cs="Times New Roman"/>
                <w:szCs w:val="20"/>
                <w:lang w:val="en-GB"/>
              </w:rPr>
            </w:pPr>
            <w:r w:rsidRPr="008E43BB">
              <w:rPr>
                <w:rFonts w:eastAsia="Times New Roman" w:cs="Times New Roman"/>
                <w:szCs w:val="20"/>
                <w:lang w:val="en-GB"/>
              </w:rPr>
              <w:t>Scheduling availability relaxation for m-Rx UE in FR2</w:t>
            </w:r>
          </w:p>
        </w:tc>
        <w:tc>
          <w:tcPr>
            <w:tcW w:w="2725" w:type="dxa"/>
            <w:tcBorders>
              <w:top w:val="single" w:sz="8" w:space="0" w:color="A3A3A3"/>
              <w:left w:val="single" w:sz="8" w:space="0" w:color="A3A3A3"/>
              <w:bottom w:val="single" w:sz="8" w:space="0" w:color="A3A3A3"/>
              <w:right w:val="single" w:sz="8" w:space="0" w:color="A3A3A3"/>
            </w:tcBorders>
            <w:tcMar>
              <w:right w:w="57" w:type="dxa"/>
            </w:tcMar>
          </w:tcPr>
          <w:p w14:paraId="44912BAE" w14:textId="77777777" w:rsidR="00117930" w:rsidRDefault="00117930">
            <w:pPr>
              <w:spacing w:after="120" w:line="240" w:lineRule="auto"/>
              <w:contextualSpacing/>
              <w:rPr>
                <w:rFonts w:eastAsia="Times New Roman" w:cs="Times New Roman"/>
                <w:szCs w:val="20"/>
                <w:lang w:val="en-GB"/>
              </w:rPr>
            </w:pPr>
            <w:r>
              <w:rPr>
                <w:rFonts w:eastAsia="Times New Roman" w:cs="Times New Roman"/>
                <w:szCs w:val="20"/>
                <w:lang w:val="en-GB"/>
              </w:rPr>
              <w:t>Requirements apply for s-DCI and m-DCI</w:t>
            </w:r>
          </w:p>
        </w:tc>
      </w:tr>
      <w:tr w:rsidR="00117930" w:rsidRPr="00F949B8" w14:paraId="6D485A45" w14:textId="77777777" w:rsidTr="5523672F">
        <w:trPr>
          <w:trHeight w:val="2844"/>
        </w:trPr>
        <w:tc>
          <w:tcPr>
            <w:tcW w:w="2277" w:type="dxa"/>
            <w:tcBorders>
              <w:top w:val="single" w:sz="8" w:space="0" w:color="A3A3A3"/>
              <w:left w:val="single" w:sz="8" w:space="0" w:color="A3A3A3"/>
              <w:right w:val="single" w:sz="8" w:space="0" w:color="A3A3A3"/>
            </w:tcBorders>
            <w:tcMar>
              <w:top w:w="80" w:type="dxa"/>
              <w:left w:w="80" w:type="dxa"/>
              <w:bottom w:w="80" w:type="dxa"/>
              <w:right w:w="80" w:type="dxa"/>
            </w:tcMar>
            <w:hideMark/>
          </w:tcPr>
          <w:p w14:paraId="56BBC4A9" w14:textId="77777777" w:rsidR="00117930" w:rsidRPr="00617326" w:rsidRDefault="00117930">
            <w:pPr>
              <w:spacing w:after="120" w:line="240" w:lineRule="auto"/>
              <w:contextualSpacing/>
              <w:rPr>
                <w:rFonts w:eastAsia="Times New Roman" w:cs="Times New Roman"/>
                <w:szCs w:val="20"/>
                <w:lang w:val="en-GB"/>
              </w:rPr>
            </w:pPr>
            <w:r w:rsidRPr="00B20888">
              <w:rPr>
                <w:rFonts w:eastAsia="Times New Roman" w:cs="Times New Roman"/>
                <w:szCs w:val="20"/>
                <w:lang w:val="en-GB"/>
              </w:rPr>
              <w:t>8.5</w:t>
            </w:r>
            <w:r>
              <w:rPr>
                <w:rFonts w:eastAsia="Times New Roman" w:cs="Times New Roman"/>
                <w:szCs w:val="20"/>
                <w:lang w:val="en-GB"/>
              </w:rPr>
              <w:t xml:space="preserve"> </w:t>
            </w:r>
            <w:r w:rsidRPr="00B20888">
              <w:rPr>
                <w:rFonts w:eastAsia="Times New Roman" w:cs="Times New Roman"/>
                <w:szCs w:val="20"/>
                <w:lang w:val="en-GB"/>
              </w:rPr>
              <w:t>Link Recovery Procedures</w:t>
            </w:r>
          </w:p>
        </w:tc>
        <w:tc>
          <w:tcPr>
            <w:tcW w:w="4627" w:type="dxa"/>
            <w:tcBorders>
              <w:top w:val="single" w:sz="8" w:space="0" w:color="A3A3A3"/>
              <w:left w:val="single" w:sz="8" w:space="0" w:color="A3A3A3"/>
              <w:right w:val="single" w:sz="8" w:space="0" w:color="A3A3A3"/>
            </w:tcBorders>
            <w:tcMar>
              <w:top w:w="80" w:type="dxa"/>
              <w:left w:w="80" w:type="dxa"/>
              <w:bottom w:w="80" w:type="dxa"/>
              <w:right w:w="80" w:type="dxa"/>
            </w:tcMar>
            <w:hideMark/>
          </w:tcPr>
          <w:p w14:paraId="7C7475B0" w14:textId="77777777" w:rsidR="00117930" w:rsidRPr="000073D8" w:rsidRDefault="00117930">
            <w:pPr>
              <w:spacing w:after="120" w:line="240" w:lineRule="auto"/>
              <w:rPr>
                <w:rFonts w:eastAsia="Times New Roman" w:cs="Times New Roman"/>
                <w:szCs w:val="20"/>
                <w:u w:val="single"/>
                <w:lang w:val="en-GB"/>
              </w:rPr>
            </w:pPr>
            <w:r w:rsidRPr="000073D8">
              <w:rPr>
                <w:rFonts w:eastAsia="Times New Roman" w:cs="Times New Roman"/>
                <w:szCs w:val="20"/>
                <w:u w:val="single"/>
                <w:lang w:val="en-GB"/>
              </w:rPr>
              <w:t>BFD:</w:t>
            </w:r>
          </w:p>
          <w:p w14:paraId="1AD3C92A" w14:textId="77777777" w:rsidR="00117930" w:rsidRPr="000073D8" w:rsidRDefault="00117930">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N-factor reduction for evaluation period for SSB-based BFD</w:t>
            </w:r>
          </w:p>
          <w:p w14:paraId="49D91D35" w14:textId="77777777" w:rsidR="00117930" w:rsidRDefault="00117930">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Measurement restriction relaxation for CSI-RS based BFD</w:t>
            </w:r>
          </w:p>
          <w:p w14:paraId="29426900" w14:textId="77777777" w:rsidR="00117930" w:rsidRPr="000073D8" w:rsidRDefault="00117930">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Scheduling availability relaxation for m-Rx UE in FR2</w:t>
            </w:r>
          </w:p>
          <w:p w14:paraId="73C2EA4E" w14:textId="77777777" w:rsidR="00117930" w:rsidRPr="000073D8" w:rsidRDefault="00117930">
            <w:pPr>
              <w:spacing w:after="120" w:line="240" w:lineRule="auto"/>
              <w:rPr>
                <w:rFonts w:eastAsia="Times New Roman" w:cs="Times New Roman"/>
                <w:szCs w:val="20"/>
                <w:u w:val="single"/>
                <w:lang w:val="en-GB"/>
              </w:rPr>
            </w:pPr>
            <w:r w:rsidRPr="000073D8">
              <w:rPr>
                <w:rFonts w:eastAsia="Times New Roman" w:cs="Times New Roman"/>
                <w:szCs w:val="20"/>
                <w:u w:val="single"/>
                <w:lang w:val="en-GB"/>
              </w:rPr>
              <w:t>CBD:</w:t>
            </w:r>
          </w:p>
          <w:p w14:paraId="17A3B337" w14:textId="77777777" w:rsidR="00117930" w:rsidRPr="000073D8" w:rsidRDefault="00117930">
            <w:pPr>
              <w:pStyle w:val="ListParagraph"/>
              <w:numPr>
                <w:ilvl w:val="0"/>
                <w:numId w:val="25"/>
              </w:numPr>
              <w:spacing w:after="120" w:line="240" w:lineRule="auto"/>
              <w:rPr>
                <w:rFonts w:eastAsia="Times New Roman" w:cs="Times New Roman"/>
                <w:szCs w:val="20"/>
                <w:lang w:val="en-GB"/>
              </w:rPr>
            </w:pPr>
            <w:r w:rsidRPr="000073D8">
              <w:rPr>
                <w:rFonts w:eastAsia="Times New Roman" w:cs="Times New Roman"/>
                <w:szCs w:val="20"/>
                <w:lang w:val="en-GB"/>
              </w:rPr>
              <w:t>N-factor reduction for evaluation period for SSB-based and CSI-RS-based CBD</w:t>
            </w:r>
          </w:p>
        </w:tc>
        <w:tc>
          <w:tcPr>
            <w:tcW w:w="2725" w:type="dxa"/>
            <w:tcBorders>
              <w:top w:val="single" w:sz="8" w:space="0" w:color="A3A3A3"/>
              <w:left w:val="single" w:sz="8" w:space="0" w:color="A3A3A3"/>
              <w:right w:val="single" w:sz="8" w:space="0" w:color="A3A3A3"/>
            </w:tcBorders>
            <w:tcMar>
              <w:right w:w="57" w:type="dxa"/>
            </w:tcMar>
          </w:tcPr>
          <w:p w14:paraId="7E1F08A3" w14:textId="77777777" w:rsidR="00117930" w:rsidRPr="00F949B8" w:rsidRDefault="00117930">
            <w:pPr>
              <w:spacing w:after="120" w:line="240" w:lineRule="auto"/>
              <w:contextualSpacing/>
              <w:rPr>
                <w:rFonts w:eastAsia="Times New Roman" w:cs="Times New Roman"/>
                <w:szCs w:val="20"/>
                <w:lang w:val="en-GB"/>
              </w:rPr>
            </w:pPr>
            <w:r w:rsidRPr="00F949B8">
              <w:rPr>
                <w:rFonts w:eastAsia="Times New Roman" w:cs="Times New Roman"/>
                <w:szCs w:val="20"/>
                <w:lang w:val="en-GB"/>
              </w:rPr>
              <w:t>Requirements apply for s-DCI</w:t>
            </w:r>
          </w:p>
          <w:p w14:paraId="079B563F" w14:textId="77777777" w:rsidR="00117930" w:rsidRPr="00F949B8" w:rsidRDefault="00117930">
            <w:pPr>
              <w:spacing w:after="120" w:line="240" w:lineRule="auto"/>
              <w:contextualSpacing/>
              <w:rPr>
                <w:rFonts w:eastAsia="Times New Roman" w:cs="Times New Roman"/>
                <w:szCs w:val="20"/>
                <w:lang w:val="en-GB"/>
              </w:rPr>
            </w:pPr>
          </w:p>
        </w:tc>
      </w:tr>
      <w:tr w:rsidR="00117930" w14:paraId="05901A3D" w14:textId="77777777" w:rsidTr="5523672F">
        <w:trPr>
          <w:trHeight w:val="2844"/>
        </w:trPr>
        <w:tc>
          <w:tcPr>
            <w:tcW w:w="2277" w:type="dxa"/>
            <w:tcBorders>
              <w:top w:val="single" w:sz="8" w:space="0" w:color="A3A3A3"/>
              <w:left w:val="single" w:sz="8" w:space="0" w:color="A3A3A3"/>
              <w:right w:val="single" w:sz="8" w:space="0" w:color="A3A3A3"/>
            </w:tcBorders>
            <w:tcMar>
              <w:top w:w="80" w:type="dxa"/>
              <w:left w:w="80" w:type="dxa"/>
              <w:bottom w:w="80" w:type="dxa"/>
              <w:right w:w="80" w:type="dxa"/>
            </w:tcMar>
            <w:hideMark/>
          </w:tcPr>
          <w:p w14:paraId="0BBBE96D" w14:textId="77777777" w:rsidR="00117930" w:rsidRPr="00617326" w:rsidRDefault="00117930">
            <w:pPr>
              <w:spacing w:after="120" w:line="240" w:lineRule="auto"/>
              <w:contextualSpacing/>
              <w:rPr>
                <w:rFonts w:eastAsia="Times New Roman" w:cs="Times New Roman"/>
                <w:szCs w:val="20"/>
                <w:lang w:val="en-GB"/>
              </w:rPr>
            </w:pPr>
            <w:r w:rsidRPr="00B20888">
              <w:rPr>
                <w:rFonts w:eastAsia="Times New Roman" w:cs="Times New Roman"/>
                <w:szCs w:val="20"/>
                <w:lang w:val="en-GB"/>
              </w:rPr>
              <w:t>8.18</w:t>
            </w:r>
            <w:r>
              <w:rPr>
                <w:rFonts w:eastAsia="Times New Roman" w:cs="Times New Roman"/>
                <w:szCs w:val="20"/>
                <w:lang w:val="en-GB"/>
              </w:rPr>
              <w:t xml:space="preserve"> </w:t>
            </w:r>
            <w:r w:rsidRPr="00B20888">
              <w:rPr>
                <w:rFonts w:eastAsia="Times New Roman" w:cs="Times New Roman"/>
                <w:szCs w:val="20"/>
                <w:lang w:val="en-GB"/>
              </w:rPr>
              <w:t>TRP specific Link Recovery Procedures</w:t>
            </w:r>
          </w:p>
          <w:p w14:paraId="42F6C4DA" w14:textId="77777777" w:rsidR="00117930" w:rsidRPr="00617326" w:rsidRDefault="00117930">
            <w:pPr>
              <w:spacing w:after="120" w:line="240" w:lineRule="auto"/>
              <w:contextualSpacing/>
              <w:rPr>
                <w:rFonts w:eastAsia="Times New Roman" w:cs="Times New Roman"/>
                <w:szCs w:val="20"/>
                <w:lang w:val="en-GB"/>
              </w:rPr>
            </w:pPr>
          </w:p>
        </w:tc>
        <w:tc>
          <w:tcPr>
            <w:tcW w:w="4627" w:type="dxa"/>
            <w:tcBorders>
              <w:top w:val="single" w:sz="8" w:space="0" w:color="A3A3A3"/>
              <w:left w:val="single" w:sz="8" w:space="0" w:color="A3A3A3"/>
              <w:right w:val="single" w:sz="8" w:space="0" w:color="A3A3A3"/>
            </w:tcBorders>
            <w:tcMar>
              <w:top w:w="80" w:type="dxa"/>
              <w:left w:w="80" w:type="dxa"/>
              <w:bottom w:w="80" w:type="dxa"/>
              <w:right w:w="80" w:type="dxa"/>
            </w:tcMar>
            <w:hideMark/>
          </w:tcPr>
          <w:p w14:paraId="0FEAB943" w14:textId="3520719C" w:rsidR="00117930" w:rsidRPr="00F136C5" w:rsidRDefault="00117930">
            <w:pPr>
              <w:spacing w:after="120" w:line="240" w:lineRule="auto"/>
              <w:rPr>
                <w:rFonts w:eastAsia="Times New Roman" w:cs="Times New Roman"/>
                <w:szCs w:val="20"/>
                <w:u w:val="single"/>
                <w:lang w:val="en-GB"/>
              </w:rPr>
            </w:pPr>
            <w:r w:rsidRPr="00F136C5">
              <w:rPr>
                <w:rFonts w:eastAsia="Times New Roman" w:cs="Times New Roman"/>
                <w:szCs w:val="20"/>
                <w:u w:val="single"/>
                <w:lang w:val="en-GB"/>
              </w:rPr>
              <w:t>BFD</w:t>
            </w:r>
          </w:p>
          <w:p w14:paraId="3AD1FF8E" w14:textId="77777777" w:rsidR="00117930" w:rsidRPr="000073D8" w:rsidRDefault="00117930">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N-factor reduction for evaluation period for SSB-based BFD</w:t>
            </w:r>
          </w:p>
          <w:p w14:paraId="2545B79D" w14:textId="77777777" w:rsidR="00117930" w:rsidRPr="000073D8" w:rsidRDefault="00117930">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P</w:t>
            </w:r>
            <w:r w:rsidRPr="00734551">
              <w:rPr>
                <w:rFonts w:eastAsia="Times New Roman" w:cs="Times New Roman"/>
                <w:szCs w:val="20"/>
                <w:vertAlign w:val="subscript"/>
                <w:lang w:val="en-GB"/>
              </w:rPr>
              <w:t>TRP</w:t>
            </w:r>
            <w:r w:rsidRPr="000073D8">
              <w:rPr>
                <w:rFonts w:eastAsia="Times New Roman" w:cs="Times New Roman"/>
                <w:szCs w:val="20"/>
                <w:lang w:val="en-GB"/>
              </w:rPr>
              <w:t xml:space="preserve"> factor reduction for evaluation period for CSI-RS-based BFD</w:t>
            </w:r>
          </w:p>
          <w:p w14:paraId="7EA1D161" w14:textId="77777777" w:rsidR="00117930" w:rsidRPr="000073D8" w:rsidRDefault="00117930">
            <w:pPr>
              <w:pStyle w:val="ListParagraph"/>
              <w:numPr>
                <w:ilvl w:val="0"/>
                <w:numId w:val="24"/>
              </w:numPr>
              <w:spacing w:after="120" w:line="240" w:lineRule="auto"/>
              <w:rPr>
                <w:rFonts w:eastAsia="Times New Roman" w:cs="Times New Roman"/>
                <w:szCs w:val="20"/>
                <w:lang w:val="en-GB"/>
              </w:rPr>
            </w:pPr>
            <w:r>
              <w:t>Measurement restriction relaxation for CSI-RS beam failure detection</w:t>
            </w:r>
          </w:p>
          <w:p w14:paraId="20EA8428" w14:textId="77777777" w:rsidR="00117930" w:rsidRPr="00F136C5" w:rsidRDefault="00117930">
            <w:pPr>
              <w:spacing w:after="120" w:line="240" w:lineRule="auto"/>
              <w:rPr>
                <w:rFonts w:eastAsia="Times New Roman" w:cs="Times New Roman"/>
                <w:szCs w:val="20"/>
                <w:u w:val="single"/>
                <w:lang w:val="en-GB"/>
              </w:rPr>
            </w:pPr>
            <w:r w:rsidRPr="00F136C5">
              <w:rPr>
                <w:rFonts w:eastAsia="Times New Roman" w:cs="Times New Roman"/>
                <w:szCs w:val="20"/>
                <w:u w:val="single"/>
                <w:lang w:val="en-GB"/>
              </w:rPr>
              <w:t>CBD:</w:t>
            </w:r>
          </w:p>
          <w:p w14:paraId="5FDCA734" w14:textId="77777777" w:rsidR="00117930" w:rsidRPr="000073D8" w:rsidRDefault="00117930">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N-factor reduction for evaluation period for SSB-based CBD</w:t>
            </w:r>
          </w:p>
          <w:p w14:paraId="2F076A55" w14:textId="77777777" w:rsidR="00117930" w:rsidRPr="000073D8" w:rsidRDefault="00117930">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lastRenderedPageBreak/>
              <w:t>N-factor reduction for evaluation period for CSI-RS-based CBD</w:t>
            </w:r>
          </w:p>
        </w:tc>
        <w:tc>
          <w:tcPr>
            <w:tcW w:w="2725" w:type="dxa"/>
            <w:tcBorders>
              <w:top w:val="single" w:sz="8" w:space="0" w:color="A3A3A3"/>
              <w:left w:val="single" w:sz="8" w:space="0" w:color="A3A3A3"/>
              <w:right w:val="single" w:sz="8" w:space="0" w:color="A3A3A3"/>
            </w:tcBorders>
            <w:tcMar>
              <w:right w:w="57" w:type="dxa"/>
            </w:tcMar>
          </w:tcPr>
          <w:p w14:paraId="4A86FCB2" w14:textId="77777777" w:rsidR="00117930" w:rsidRDefault="00117930">
            <w:pPr>
              <w:spacing w:after="120" w:line="240" w:lineRule="auto"/>
              <w:contextualSpacing/>
              <w:rPr>
                <w:rFonts w:eastAsia="Times New Roman" w:cs="Times New Roman"/>
                <w:szCs w:val="20"/>
                <w:lang w:val="en-GB"/>
              </w:rPr>
            </w:pPr>
            <w:r w:rsidRPr="00F949B8">
              <w:rPr>
                <w:rFonts w:eastAsia="Times New Roman" w:cs="Times New Roman"/>
                <w:szCs w:val="20"/>
                <w:lang w:val="en-GB"/>
              </w:rPr>
              <w:lastRenderedPageBreak/>
              <w:t xml:space="preserve">Requirements apply for </w:t>
            </w:r>
            <w:r>
              <w:rPr>
                <w:rFonts w:eastAsia="Times New Roman" w:cs="Times New Roman"/>
                <w:szCs w:val="20"/>
                <w:lang w:val="en-GB"/>
              </w:rPr>
              <w:t>m</w:t>
            </w:r>
            <w:r w:rsidRPr="00F949B8">
              <w:rPr>
                <w:rFonts w:eastAsia="Times New Roman" w:cs="Times New Roman"/>
                <w:szCs w:val="20"/>
                <w:lang w:val="en-GB"/>
              </w:rPr>
              <w:t>-DCI</w:t>
            </w:r>
          </w:p>
          <w:p w14:paraId="37990CE2" w14:textId="77777777" w:rsidR="00117930" w:rsidRDefault="00117930">
            <w:pPr>
              <w:spacing w:after="120" w:line="240" w:lineRule="auto"/>
              <w:contextualSpacing/>
              <w:rPr>
                <w:rFonts w:eastAsia="Times New Roman" w:cs="Times New Roman"/>
                <w:szCs w:val="20"/>
                <w:lang w:val="en-GB"/>
              </w:rPr>
            </w:pPr>
          </w:p>
        </w:tc>
      </w:tr>
      <w:tr w:rsidR="00117930" w14:paraId="5E613872" w14:textId="77777777" w:rsidTr="5523672F">
        <w:trPr>
          <w:trHeight w:val="276"/>
        </w:trPr>
        <w:tc>
          <w:tcPr>
            <w:tcW w:w="2277" w:type="dxa"/>
            <w:vMerge w:val="restart"/>
            <w:tcBorders>
              <w:top w:val="single" w:sz="8" w:space="0" w:color="A3A3A3"/>
              <w:left w:val="single" w:sz="8" w:space="0" w:color="A3A3A3"/>
              <w:right w:val="single" w:sz="8" w:space="0" w:color="A3A3A3"/>
            </w:tcBorders>
            <w:tcMar>
              <w:top w:w="80" w:type="dxa"/>
              <w:left w:w="80" w:type="dxa"/>
              <w:bottom w:w="80" w:type="dxa"/>
              <w:right w:w="80" w:type="dxa"/>
            </w:tcMar>
          </w:tcPr>
          <w:p w14:paraId="044B4B5D" w14:textId="77777777" w:rsidR="00117930" w:rsidRPr="00617326" w:rsidRDefault="00117930">
            <w:pPr>
              <w:spacing w:after="120" w:line="240" w:lineRule="auto"/>
              <w:contextualSpacing/>
              <w:rPr>
                <w:rFonts w:eastAsia="Times New Roman" w:cs="Times New Roman"/>
                <w:szCs w:val="20"/>
                <w:lang w:val="en-GB"/>
              </w:rPr>
            </w:pPr>
            <w:r>
              <w:rPr>
                <w:rFonts w:eastAsia="Times New Roman" w:cs="Times New Roman"/>
                <w:szCs w:val="20"/>
                <w:lang w:val="en-GB"/>
              </w:rPr>
              <w:t>8.10D Active TCI state switching delay for m-Rx UE</w:t>
            </w:r>
          </w:p>
        </w:tc>
        <w:tc>
          <w:tcPr>
            <w:tcW w:w="46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96E0E9" w14:textId="3D5B5E1E" w:rsidR="00117930" w:rsidRPr="000073D8" w:rsidRDefault="00117930" w:rsidP="5523672F">
            <w:pPr>
              <w:pStyle w:val="ListParagraph"/>
              <w:numPr>
                <w:ilvl w:val="0"/>
                <w:numId w:val="25"/>
              </w:numPr>
              <w:spacing w:after="120" w:line="240" w:lineRule="auto"/>
              <w:rPr>
                <w:rFonts w:eastAsia="Times New Roman" w:cs="Times New Roman"/>
                <w:lang w:val="en-GB"/>
              </w:rPr>
            </w:pPr>
            <w:r w:rsidRPr="5523672F">
              <w:rPr>
                <w:rFonts w:eastAsia="Times New Roman" w:cs="Times New Roman"/>
                <w:lang w:val="en-GB"/>
              </w:rPr>
              <w:t xml:space="preserve">Conditions for known </w:t>
            </w:r>
            <w:r w:rsidR="45785BF0" w:rsidRPr="5523672F">
              <w:rPr>
                <w:rFonts w:eastAsia="Times New Roman" w:cs="Times New Roman"/>
                <w:lang w:val="en-GB"/>
              </w:rPr>
              <w:t xml:space="preserve"> </w:t>
            </w:r>
            <w:r w:rsidRPr="5523672F">
              <w:rPr>
                <w:rFonts w:eastAsia="Times New Roman" w:cs="Times New Roman"/>
                <w:lang w:val="en-GB"/>
              </w:rPr>
              <w:t>TCI state</w:t>
            </w:r>
          </w:p>
        </w:tc>
        <w:tc>
          <w:tcPr>
            <w:tcW w:w="2725" w:type="dxa"/>
            <w:tcBorders>
              <w:top w:val="single" w:sz="8" w:space="0" w:color="A3A3A3"/>
              <w:left w:val="single" w:sz="8" w:space="0" w:color="A3A3A3"/>
              <w:bottom w:val="single" w:sz="8" w:space="0" w:color="A3A3A3"/>
              <w:right w:val="single" w:sz="8" w:space="0" w:color="A3A3A3"/>
            </w:tcBorders>
            <w:tcMar>
              <w:right w:w="57" w:type="dxa"/>
            </w:tcMar>
          </w:tcPr>
          <w:p w14:paraId="523F3857" w14:textId="77777777" w:rsidR="00117930" w:rsidRDefault="00117930">
            <w:pPr>
              <w:spacing w:after="120" w:line="240" w:lineRule="auto"/>
              <w:contextualSpacing/>
              <w:rPr>
                <w:rFonts w:eastAsia="Times New Roman" w:cs="Times New Roman"/>
                <w:szCs w:val="20"/>
                <w:lang w:val="en-GB"/>
              </w:rPr>
            </w:pPr>
          </w:p>
        </w:tc>
      </w:tr>
      <w:tr w:rsidR="00117930" w14:paraId="2E89415D" w14:textId="77777777" w:rsidTr="5523672F">
        <w:trPr>
          <w:trHeight w:val="607"/>
        </w:trPr>
        <w:tc>
          <w:tcPr>
            <w:tcW w:w="2277" w:type="dxa"/>
            <w:vMerge/>
            <w:tcMar>
              <w:top w:w="80" w:type="dxa"/>
              <w:left w:w="80" w:type="dxa"/>
              <w:bottom w:w="80" w:type="dxa"/>
              <w:right w:w="80" w:type="dxa"/>
            </w:tcMar>
          </w:tcPr>
          <w:p w14:paraId="52BF5B42" w14:textId="77777777" w:rsidR="00117930" w:rsidRDefault="00117930">
            <w:pPr>
              <w:spacing w:after="120" w:line="240" w:lineRule="auto"/>
              <w:contextualSpacing/>
              <w:rPr>
                <w:rFonts w:eastAsia="Times New Roman" w:cs="Times New Roman"/>
                <w:szCs w:val="20"/>
                <w:lang w:val="en-GB"/>
              </w:rPr>
            </w:pPr>
            <w:bookmarkStart w:id="1" w:name="_Hlk158281136"/>
          </w:p>
        </w:tc>
        <w:tc>
          <w:tcPr>
            <w:tcW w:w="46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1CD7C2" w14:textId="77777777" w:rsidR="00117930" w:rsidRPr="000073D8" w:rsidRDefault="00117930">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 xml:space="preserve">MAC-CE based TCI state switch delay for </w:t>
            </w:r>
            <w:r w:rsidRPr="000073D8">
              <w:rPr>
                <w:rFonts w:eastAsia="Times New Roman" w:cs="Times New Roman"/>
                <w:i/>
                <w:iCs/>
                <w:szCs w:val="20"/>
                <w:lang w:val="en-GB"/>
              </w:rPr>
              <w:t>PDCCH repetition</w:t>
            </w:r>
          </w:p>
          <w:p w14:paraId="778DECB7" w14:textId="77777777" w:rsidR="00117930" w:rsidRPr="000073D8" w:rsidRDefault="00117930">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 xml:space="preserve">MAC-CE based TCI state switch delay for </w:t>
            </w:r>
            <w:r w:rsidRPr="000073D8">
              <w:rPr>
                <w:rFonts w:eastAsia="Times New Roman" w:cs="Times New Roman"/>
                <w:i/>
                <w:iCs/>
                <w:szCs w:val="20"/>
                <w:lang w:val="en-GB"/>
              </w:rPr>
              <w:t>m-DCI</w:t>
            </w:r>
          </w:p>
        </w:tc>
        <w:tc>
          <w:tcPr>
            <w:tcW w:w="2725" w:type="dxa"/>
            <w:tcBorders>
              <w:top w:val="single" w:sz="8" w:space="0" w:color="A3A3A3"/>
              <w:left w:val="single" w:sz="8" w:space="0" w:color="A3A3A3"/>
              <w:bottom w:val="single" w:sz="8" w:space="0" w:color="A3A3A3"/>
              <w:right w:val="single" w:sz="8" w:space="0" w:color="A3A3A3"/>
            </w:tcBorders>
            <w:tcMar>
              <w:right w:w="57" w:type="dxa"/>
            </w:tcMar>
          </w:tcPr>
          <w:p w14:paraId="1ABF0E03" w14:textId="250544FC" w:rsidR="00117930" w:rsidRDefault="00117930">
            <w:pPr>
              <w:spacing w:after="120" w:line="240" w:lineRule="auto"/>
              <w:contextualSpacing/>
              <w:rPr>
                <w:rFonts w:eastAsia="Times New Roman" w:cs="Times New Roman"/>
                <w:szCs w:val="20"/>
                <w:lang w:val="en-GB"/>
              </w:rPr>
            </w:pPr>
            <w:r>
              <w:rPr>
                <w:rFonts w:eastAsia="Times New Roman" w:cs="Times New Roman"/>
                <w:szCs w:val="20"/>
                <w:lang w:val="en-GB"/>
              </w:rPr>
              <w:t>Requirements defined for PDCCH repetition and m-DCI</w:t>
            </w:r>
          </w:p>
        </w:tc>
      </w:tr>
      <w:tr w:rsidR="00117930" w14:paraId="50023D41" w14:textId="77777777" w:rsidTr="5523672F">
        <w:trPr>
          <w:trHeight w:val="492"/>
        </w:trPr>
        <w:tc>
          <w:tcPr>
            <w:tcW w:w="2277" w:type="dxa"/>
            <w:vMerge/>
            <w:tcMar>
              <w:top w:w="80" w:type="dxa"/>
              <w:left w:w="80" w:type="dxa"/>
              <w:bottom w:w="80" w:type="dxa"/>
              <w:right w:w="80" w:type="dxa"/>
            </w:tcMar>
          </w:tcPr>
          <w:p w14:paraId="629D5012" w14:textId="77777777" w:rsidR="00117930" w:rsidRPr="00617326" w:rsidRDefault="00117930">
            <w:pPr>
              <w:spacing w:after="120" w:line="240" w:lineRule="auto"/>
              <w:contextualSpacing/>
              <w:rPr>
                <w:rFonts w:eastAsia="Times New Roman" w:cs="Times New Roman"/>
                <w:szCs w:val="20"/>
                <w:lang w:val="en-GB"/>
              </w:rPr>
            </w:pPr>
          </w:p>
        </w:tc>
        <w:tc>
          <w:tcPr>
            <w:tcW w:w="46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15A0B9" w14:textId="77777777" w:rsidR="00117930" w:rsidRPr="000073D8" w:rsidRDefault="00117930">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 xml:space="preserve">DCI based TCI state switch delay for </w:t>
            </w:r>
            <w:r w:rsidRPr="000073D8">
              <w:rPr>
                <w:rFonts w:eastAsia="Times New Roman" w:cs="Times New Roman"/>
                <w:i/>
                <w:iCs/>
                <w:szCs w:val="20"/>
                <w:lang w:val="en-GB"/>
              </w:rPr>
              <w:t>s-DCI</w:t>
            </w:r>
          </w:p>
          <w:p w14:paraId="00C3BF6A" w14:textId="77777777" w:rsidR="00117930" w:rsidRPr="000073D8" w:rsidRDefault="00117930">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 xml:space="preserve">DCI based TCI state switch delay for </w:t>
            </w:r>
            <w:r w:rsidRPr="000073D8">
              <w:rPr>
                <w:rFonts w:eastAsia="Times New Roman" w:cs="Times New Roman"/>
                <w:i/>
                <w:iCs/>
                <w:szCs w:val="20"/>
                <w:lang w:val="en-GB"/>
              </w:rPr>
              <w:t>m-DCI</w:t>
            </w:r>
          </w:p>
        </w:tc>
        <w:tc>
          <w:tcPr>
            <w:tcW w:w="2725" w:type="dxa"/>
            <w:tcBorders>
              <w:top w:val="single" w:sz="8" w:space="0" w:color="A3A3A3"/>
              <w:left w:val="single" w:sz="8" w:space="0" w:color="A3A3A3"/>
              <w:bottom w:val="single" w:sz="8" w:space="0" w:color="A3A3A3"/>
              <w:right w:val="single" w:sz="8" w:space="0" w:color="A3A3A3"/>
            </w:tcBorders>
            <w:tcMar>
              <w:right w:w="57" w:type="dxa"/>
            </w:tcMar>
          </w:tcPr>
          <w:p w14:paraId="7092EFB1" w14:textId="2A8EE3B2" w:rsidR="00117930" w:rsidRDefault="00117930" w:rsidP="5523672F">
            <w:pPr>
              <w:spacing w:after="120" w:line="240" w:lineRule="auto"/>
              <w:contextualSpacing/>
              <w:rPr>
                <w:rFonts w:eastAsia="Times New Roman" w:cs="Times New Roman"/>
                <w:lang w:val="en-GB"/>
              </w:rPr>
            </w:pPr>
          </w:p>
        </w:tc>
      </w:tr>
      <w:tr w:rsidR="00117930" w14:paraId="1FD260BE" w14:textId="77777777" w:rsidTr="5523672F">
        <w:trPr>
          <w:trHeight w:val="490"/>
        </w:trPr>
        <w:tc>
          <w:tcPr>
            <w:tcW w:w="2277" w:type="dxa"/>
            <w:vMerge/>
            <w:tcMar>
              <w:top w:w="80" w:type="dxa"/>
              <w:left w:w="80" w:type="dxa"/>
              <w:bottom w:w="80" w:type="dxa"/>
              <w:right w:w="80" w:type="dxa"/>
            </w:tcMar>
          </w:tcPr>
          <w:p w14:paraId="00F4D7D6" w14:textId="77777777" w:rsidR="00117930" w:rsidRPr="00617326" w:rsidRDefault="00117930">
            <w:pPr>
              <w:spacing w:after="120" w:line="240" w:lineRule="auto"/>
              <w:contextualSpacing/>
              <w:rPr>
                <w:rFonts w:eastAsia="Times New Roman" w:cs="Times New Roman"/>
                <w:szCs w:val="20"/>
                <w:lang w:val="en-GB"/>
              </w:rPr>
            </w:pPr>
          </w:p>
        </w:tc>
        <w:tc>
          <w:tcPr>
            <w:tcW w:w="46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08CB76" w14:textId="77777777" w:rsidR="00117930" w:rsidRPr="000073D8" w:rsidRDefault="00117930">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Active TCI state list update delay for s-DCI</w:t>
            </w:r>
          </w:p>
          <w:p w14:paraId="087259D8" w14:textId="77777777" w:rsidR="00117930" w:rsidRPr="000073D8" w:rsidRDefault="00117930">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Active TCI State list update delay for m-DCI</w:t>
            </w:r>
          </w:p>
        </w:tc>
        <w:tc>
          <w:tcPr>
            <w:tcW w:w="2725" w:type="dxa"/>
            <w:tcBorders>
              <w:top w:val="single" w:sz="8" w:space="0" w:color="A3A3A3"/>
              <w:left w:val="single" w:sz="8" w:space="0" w:color="A3A3A3"/>
              <w:bottom w:val="single" w:sz="8" w:space="0" w:color="A3A3A3"/>
              <w:right w:val="single" w:sz="8" w:space="0" w:color="A3A3A3"/>
            </w:tcBorders>
            <w:tcMar>
              <w:right w:w="57" w:type="dxa"/>
            </w:tcMar>
          </w:tcPr>
          <w:p w14:paraId="25ED6898" w14:textId="77777777" w:rsidR="00117930" w:rsidRDefault="00117930">
            <w:pPr>
              <w:spacing w:after="120" w:line="240" w:lineRule="auto"/>
              <w:contextualSpacing/>
              <w:rPr>
                <w:rFonts w:eastAsia="Times New Roman" w:cs="Times New Roman"/>
                <w:szCs w:val="20"/>
                <w:lang w:val="en-GB"/>
              </w:rPr>
            </w:pPr>
          </w:p>
        </w:tc>
      </w:tr>
      <w:bookmarkEnd w:id="1"/>
      <w:tr w:rsidR="00117930" w14:paraId="1AE17036" w14:textId="77777777" w:rsidTr="5523672F">
        <w:tc>
          <w:tcPr>
            <w:tcW w:w="22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293947" w14:textId="77777777" w:rsidR="00117930" w:rsidRPr="00617326" w:rsidRDefault="00117930">
            <w:pPr>
              <w:spacing w:after="120" w:line="240" w:lineRule="auto"/>
              <w:contextualSpacing/>
              <w:rPr>
                <w:rFonts w:eastAsia="Times New Roman" w:cs="Times New Roman"/>
                <w:szCs w:val="20"/>
                <w:lang w:val="en-GB"/>
              </w:rPr>
            </w:pPr>
            <w:r w:rsidRPr="005C72C2">
              <w:rPr>
                <w:rFonts w:eastAsia="Times New Roman" w:cs="Times New Roman"/>
                <w:szCs w:val="20"/>
                <w:lang w:val="en-GB"/>
              </w:rPr>
              <w:t>9.5</w:t>
            </w:r>
            <w:r>
              <w:rPr>
                <w:rFonts w:eastAsia="Times New Roman" w:cs="Times New Roman"/>
                <w:szCs w:val="20"/>
                <w:lang w:val="en-GB"/>
              </w:rPr>
              <w:t xml:space="preserve"> </w:t>
            </w:r>
            <w:r w:rsidRPr="005C72C2">
              <w:rPr>
                <w:rFonts w:eastAsia="Times New Roman" w:cs="Times New Roman"/>
                <w:szCs w:val="20"/>
                <w:lang w:val="en-GB"/>
              </w:rPr>
              <w:t>L1-RSRP measurements for Reporting</w:t>
            </w:r>
          </w:p>
        </w:tc>
        <w:tc>
          <w:tcPr>
            <w:tcW w:w="46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8729A3" w14:textId="77777777" w:rsidR="00117930" w:rsidRPr="000073D8" w:rsidRDefault="00117930">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L1-RSRP measurement requirements for non-group-based reporting</w:t>
            </w:r>
            <w:r>
              <w:rPr>
                <w:rFonts w:eastAsia="Times New Roman" w:cs="Times New Roman"/>
                <w:szCs w:val="20"/>
                <w:lang w:val="en-GB"/>
              </w:rPr>
              <w:t xml:space="preserve"> taking into account N-factor reduction</w:t>
            </w:r>
          </w:p>
          <w:p w14:paraId="4755520B" w14:textId="77777777" w:rsidR="00117930" w:rsidRPr="000073D8" w:rsidRDefault="00117930">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L1-RSRP measurement requirements for group-based reporting</w:t>
            </w:r>
            <w:r>
              <w:rPr>
                <w:rFonts w:eastAsia="Times New Roman" w:cs="Times New Roman"/>
                <w:szCs w:val="20"/>
                <w:lang w:val="en-GB"/>
              </w:rPr>
              <w:t xml:space="preserve"> taking into account N-factor reduction</w:t>
            </w:r>
          </w:p>
          <w:p w14:paraId="2F394531" w14:textId="77777777" w:rsidR="00117930" w:rsidRPr="000073D8" w:rsidRDefault="00117930">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Measurement restriction relaxation for CSI-RS-based L1-RSRP</w:t>
            </w:r>
          </w:p>
          <w:p w14:paraId="4320306F" w14:textId="77777777" w:rsidR="00117930" w:rsidRPr="000073D8" w:rsidRDefault="00117930">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Scheduling availability relaxation for L1-RSRP measurement</w:t>
            </w:r>
          </w:p>
        </w:tc>
        <w:tc>
          <w:tcPr>
            <w:tcW w:w="2725" w:type="dxa"/>
            <w:tcBorders>
              <w:top w:val="single" w:sz="8" w:space="0" w:color="A3A3A3"/>
              <w:left w:val="single" w:sz="8" w:space="0" w:color="A3A3A3"/>
              <w:bottom w:val="single" w:sz="8" w:space="0" w:color="A3A3A3"/>
              <w:right w:val="single" w:sz="8" w:space="0" w:color="A3A3A3"/>
            </w:tcBorders>
            <w:tcMar>
              <w:right w:w="57" w:type="dxa"/>
            </w:tcMar>
          </w:tcPr>
          <w:p w14:paraId="44EEDEAD" w14:textId="77777777" w:rsidR="00117930" w:rsidRDefault="00117930">
            <w:pPr>
              <w:spacing w:after="120" w:line="240" w:lineRule="auto"/>
              <w:contextualSpacing/>
              <w:rPr>
                <w:rFonts w:eastAsia="Times New Roman" w:cs="Times New Roman"/>
                <w:szCs w:val="20"/>
                <w:lang w:val="en-GB"/>
              </w:rPr>
            </w:pPr>
          </w:p>
        </w:tc>
      </w:tr>
      <w:tr w:rsidR="00117930" w14:paraId="4464ECB1" w14:textId="77777777" w:rsidTr="001B7758">
        <w:tc>
          <w:tcPr>
            <w:tcW w:w="2277"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59A8788" w14:textId="2C20C945" w:rsidR="00117930" w:rsidRPr="001B7758" w:rsidRDefault="00117930">
            <w:pPr>
              <w:spacing w:after="120" w:line="240" w:lineRule="auto"/>
              <w:contextualSpacing/>
              <w:rPr>
                <w:rFonts w:eastAsia="Times New Roman" w:cs="Times New Roman"/>
                <w:szCs w:val="20"/>
                <w:lang w:val="en-GB"/>
              </w:rPr>
            </w:pPr>
            <w:r w:rsidRPr="001B7758">
              <w:rPr>
                <w:rFonts w:eastAsia="Times New Roman" w:cs="Times New Roman"/>
                <w:szCs w:val="20"/>
                <w:lang w:val="en-GB"/>
              </w:rPr>
              <w:t>9.8 L1-SINR measurements for Reporting</w:t>
            </w:r>
          </w:p>
        </w:tc>
        <w:tc>
          <w:tcPr>
            <w:tcW w:w="4627"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44E43ED" w14:textId="62A44820" w:rsidR="00117930" w:rsidRPr="001B7758" w:rsidRDefault="00117930">
            <w:pPr>
              <w:pStyle w:val="ListParagraph"/>
              <w:numPr>
                <w:ilvl w:val="0"/>
                <w:numId w:val="24"/>
              </w:numPr>
              <w:spacing w:after="120" w:line="240" w:lineRule="auto"/>
              <w:rPr>
                <w:rFonts w:eastAsia="Times New Roman" w:cs="Times New Roman"/>
                <w:szCs w:val="20"/>
                <w:lang w:val="en-GB"/>
              </w:rPr>
            </w:pPr>
            <w:r w:rsidRPr="001B7758">
              <w:rPr>
                <w:rFonts w:eastAsia="Times New Roman" w:cs="Times New Roman"/>
                <w:szCs w:val="20"/>
                <w:lang w:val="en-GB"/>
              </w:rPr>
              <w:t>N-factor reduction for L1-SINR measurement period]</w:t>
            </w:r>
          </w:p>
          <w:p w14:paraId="69909491" w14:textId="06F2D453" w:rsidR="00117930" w:rsidRPr="001B7758" w:rsidRDefault="00117930">
            <w:pPr>
              <w:pStyle w:val="ListParagraph"/>
              <w:numPr>
                <w:ilvl w:val="0"/>
                <w:numId w:val="24"/>
              </w:numPr>
              <w:spacing w:after="120" w:line="240" w:lineRule="auto"/>
              <w:rPr>
                <w:rFonts w:eastAsia="Times New Roman" w:cs="Times New Roman"/>
                <w:szCs w:val="20"/>
                <w:lang w:val="en-GB"/>
              </w:rPr>
            </w:pPr>
            <w:r w:rsidRPr="001B7758">
              <w:rPr>
                <w:rFonts w:eastAsia="Times New Roman" w:cs="Times New Roman"/>
                <w:szCs w:val="20"/>
                <w:lang w:val="en-GB"/>
              </w:rPr>
              <w:t>Measurement restriction relaxation for L1-SINR</w:t>
            </w:r>
          </w:p>
          <w:p w14:paraId="6AA064BA" w14:textId="146BCB42" w:rsidR="00117930" w:rsidRPr="001B7758" w:rsidRDefault="00117930">
            <w:pPr>
              <w:pStyle w:val="ListParagraph"/>
              <w:numPr>
                <w:ilvl w:val="0"/>
                <w:numId w:val="24"/>
              </w:numPr>
              <w:spacing w:after="120" w:line="240" w:lineRule="auto"/>
              <w:rPr>
                <w:rFonts w:eastAsia="Times New Roman" w:cs="Times New Roman"/>
                <w:szCs w:val="20"/>
                <w:lang w:val="en-GB"/>
              </w:rPr>
            </w:pPr>
            <w:r w:rsidRPr="001B7758">
              <w:rPr>
                <w:rFonts w:eastAsia="Times New Roman" w:cs="Times New Roman"/>
                <w:szCs w:val="20"/>
                <w:lang w:val="en-GB"/>
              </w:rPr>
              <w:t>Scheduling availability relaxation for L1-SINR</w:t>
            </w:r>
          </w:p>
        </w:tc>
        <w:tc>
          <w:tcPr>
            <w:tcW w:w="2725" w:type="dxa"/>
            <w:tcBorders>
              <w:top w:val="single" w:sz="8" w:space="0" w:color="A3A3A3"/>
              <w:left w:val="single" w:sz="8" w:space="0" w:color="A3A3A3"/>
              <w:bottom w:val="single" w:sz="8" w:space="0" w:color="A3A3A3"/>
              <w:right w:val="single" w:sz="8" w:space="0" w:color="A3A3A3"/>
            </w:tcBorders>
            <w:shd w:val="clear" w:color="auto" w:fill="auto"/>
            <w:tcMar>
              <w:right w:w="57" w:type="dxa"/>
            </w:tcMar>
          </w:tcPr>
          <w:p w14:paraId="26451C8C" w14:textId="10E5CCC2" w:rsidR="00117930" w:rsidRPr="001B7758" w:rsidRDefault="00117930">
            <w:pPr>
              <w:spacing w:after="120" w:line="240" w:lineRule="auto"/>
              <w:contextualSpacing/>
              <w:rPr>
                <w:rFonts w:eastAsia="Times New Roman" w:cs="Times New Roman"/>
                <w:szCs w:val="20"/>
                <w:lang w:val="en-GB"/>
              </w:rPr>
            </w:pPr>
          </w:p>
        </w:tc>
      </w:tr>
    </w:tbl>
    <w:p w14:paraId="750F5A2B" w14:textId="77777777" w:rsidR="00117930" w:rsidRDefault="00117930" w:rsidP="00117930">
      <w:pPr>
        <w:rPr>
          <w:lang w:val="en-GB"/>
        </w:rPr>
      </w:pPr>
    </w:p>
    <w:p w14:paraId="5FB21EFC" w14:textId="77777777" w:rsidR="00CC1A0B" w:rsidRDefault="00CC1A0B" w:rsidP="00CC1A0B">
      <w:pPr>
        <w:pStyle w:val="RAN4H1"/>
      </w:pPr>
      <w:r>
        <w:t>Accuracy requirements</w:t>
      </w:r>
    </w:p>
    <w:p w14:paraId="4F5B8A47" w14:textId="77777777" w:rsidR="00CC1A0B" w:rsidRDefault="00CC1A0B" w:rsidP="00D52B7F">
      <w:pPr>
        <w:rPr>
          <w:lang w:val="en-GB"/>
        </w:rPr>
      </w:pPr>
      <w:r>
        <w:rPr>
          <w:lang w:val="en-GB"/>
        </w:rPr>
        <w:t>The following proposal was made in the last meeting regarding the accuracy requirements for multi-Rx L1-RSRP measurements:</w:t>
      </w:r>
    </w:p>
    <w:tbl>
      <w:tblPr>
        <w:tblStyle w:val="TableGrid"/>
        <w:tblW w:w="5000" w:type="pct"/>
        <w:jc w:val="center"/>
        <w:tblLook w:val="04A0" w:firstRow="1" w:lastRow="0" w:firstColumn="1" w:lastColumn="0" w:noHBand="0" w:noVBand="1"/>
      </w:tblPr>
      <w:tblGrid>
        <w:gridCol w:w="10457"/>
      </w:tblGrid>
      <w:tr w:rsidR="00CC1A0B" w14:paraId="0E66107F" w14:textId="77777777" w:rsidTr="004459F6">
        <w:trPr>
          <w:jc w:val="center"/>
        </w:trPr>
        <w:tc>
          <w:tcPr>
            <w:tcW w:w="10098" w:type="dxa"/>
          </w:tcPr>
          <w:p w14:paraId="0410D5A4" w14:textId="77777777" w:rsidR="009E5705" w:rsidRPr="009E5705" w:rsidRDefault="009E5705" w:rsidP="009D7BEE">
            <w:pPr>
              <w:spacing w:after="180"/>
              <w:rPr>
                <w:rFonts w:eastAsia="Times New Roman" w:cs="Times New Roman"/>
                <w:color w:val="000000"/>
                <w:szCs w:val="20"/>
                <w:lang w:val="en-GB"/>
              </w:rPr>
            </w:pPr>
            <w:r w:rsidRPr="009E5705">
              <w:rPr>
                <w:rFonts w:eastAsia="Times New Roman" w:cs="Times New Roman"/>
                <w:b/>
                <w:bCs/>
                <w:color w:val="000000"/>
                <w:szCs w:val="20"/>
                <w:u w:val="single"/>
                <w:lang w:val="en-GB"/>
              </w:rPr>
              <w:t>Issue 1-10: Accuracy requirements for multi-Rx in Rel-18</w:t>
            </w:r>
          </w:p>
          <w:p w14:paraId="14E098B2" w14:textId="77777777" w:rsidR="009E5705" w:rsidRPr="009E5705" w:rsidRDefault="009E5705" w:rsidP="009E5705">
            <w:pPr>
              <w:numPr>
                <w:ilvl w:val="0"/>
                <w:numId w:val="35"/>
              </w:numPr>
              <w:spacing w:after="120"/>
              <w:textAlignment w:val="center"/>
              <w:rPr>
                <w:rFonts w:ascii="Calibri" w:eastAsia="Times New Roman" w:hAnsi="Calibri" w:cs="Calibri"/>
                <w:sz w:val="22"/>
                <w:lang w:val="en-GB"/>
              </w:rPr>
            </w:pPr>
            <w:r w:rsidRPr="009E5705">
              <w:rPr>
                <w:rFonts w:eastAsia="Times New Roman" w:cs="Times New Roman"/>
                <w:color w:val="000000"/>
                <w:szCs w:val="20"/>
                <w:lang w:val="en-GB"/>
              </w:rPr>
              <w:t>Proposals</w:t>
            </w:r>
          </w:p>
          <w:p w14:paraId="074EAD46" w14:textId="77777777" w:rsidR="009E5705" w:rsidRPr="009E5705" w:rsidRDefault="009E5705" w:rsidP="009E5705">
            <w:pPr>
              <w:numPr>
                <w:ilvl w:val="1"/>
                <w:numId w:val="35"/>
              </w:numPr>
              <w:spacing w:after="120"/>
              <w:textAlignment w:val="center"/>
              <w:rPr>
                <w:rFonts w:ascii="Calibri" w:eastAsia="Times New Roman" w:hAnsi="Calibri" w:cs="Calibri"/>
                <w:sz w:val="22"/>
                <w:lang w:val="en-GB"/>
              </w:rPr>
            </w:pPr>
            <w:r w:rsidRPr="009E5705">
              <w:rPr>
                <w:rFonts w:eastAsia="Times New Roman" w:cs="Times New Roman"/>
                <w:color w:val="000000"/>
                <w:szCs w:val="20"/>
                <w:lang w:val="en-GB"/>
              </w:rPr>
              <w:t>Option 1:</w:t>
            </w:r>
          </w:p>
          <w:p w14:paraId="705A0A47" w14:textId="77777777" w:rsidR="009E5705" w:rsidRPr="009E5705" w:rsidRDefault="009E5705" w:rsidP="009E5705">
            <w:pPr>
              <w:numPr>
                <w:ilvl w:val="2"/>
                <w:numId w:val="35"/>
              </w:numPr>
              <w:spacing w:after="120"/>
              <w:textAlignment w:val="center"/>
              <w:rPr>
                <w:rFonts w:ascii="Calibri" w:eastAsia="Times New Roman" w:hAnsi="Calibri" w:cs="Calibri"/>
                <w:sz w:val="22"/>
                <w:lang w:val="en-GB"/>
              </w:rPr>
            </w:pPr>
            <w:r w:rsidRPr="009E5705">
              <w:rPr>
                <w:rFonts w:eastAsia="Times New Roman" w:cs="Times New Roman"/>
                <w:color w:val="000000"/>
                <w:szCs w:val="20"/>
                <w:lang w:val="en-GB"/>
              </w:rPr>
              <w:t>The legacy accuracy requirements for L1-RSRP measurement apply for L1-RSRP measurements with group-based beam reporting.</w:t>
            </w:r>
          </w:p>
          <w:p w14:paraId="49493A4E" w14:textId="77777777" w:rsidR="009E5705" w:rsidRPr="009E5705" w:rsidRDefault="009E5705" w:rsidP="009E5705">
            <w:pPr>
              <w:numPr>
                <w:ilvl w:val="1"/>
                <w:numId w:val="35"/>
              </w:numPr>
              <w:spacing w:after="120"/>
              <w:textAlignment w:val="center"/>
              <w:rPr>
                <w:rFonts w:ascii="Calibri" w:eastAsia="Times New Roman" w:hAnsi="Calibri" w:cs="Calibri"/>
                <w:sz w:val="22"/>
                <w:lang w:val="en-GB"/>
              </w:rPr>
            </w:pPr>
            <w:r w:rsidRPr="009E5705">
              <w:rPr>
                <w:rFonts w:eastAsia="Times New Roman" w:cs="Times New Roman"/>
                <w:color w:val="000000"/>
                <w:szCs w:val="20"/>
                <w:lang w:val="en-GB"/>
              </w:rPr>
              <w:t>Option 2:</w:t>
            </w:r>
          </w:p>
          <w:p w14:paraId="194EAD90" w14:textId="77777777" w:rsidR="009E5705" w:rsidRPr="009E5705" w:rsidRDefault="009E5705" w:rsidP="009E5705">
            <w:pPr>
              <w:numPr>
                <w:ilvl w:val="2"/>
                <w:numId w:val="35"/>
              </w:numPr>
              <w:spacing w:after="120"/>
              <w:textAlignment w:val="center"/>
              <w:rPr>
                <w:rFonts w:ascii="Calibri" w:eastAsia="Times New Roman" w:hAnsi="Calibri" w:cs="Calibri"/>
                <w:sz w:val="22"/>
                <w:lang w:val="en-GB"/>
              </w:rPr>
            </w:pPr>
            <w:r w:rsidRPr="009E5705">
              <w:rPr>
                <w:rFonts w:eastAsia="Times New Roman" w:cs="Times New Roman"/>
                <w:color w:val="000000"/>
                <w:szCs w:val="20"/>
                <w:lang w:val="en-GB"/>
              </w:rPr>
              <w:t>The legacy accuracy requirements in section 10.1.20 of TS 38.133 apply for L1-RSRP measurements under multi-rx operation, with a clarification that multi-rx chain L1-RSRP accuracy requirements apply for FR2-1.</w:t>
            </w:r>
          </w:p>
          <w:p w14:paraId="7A651E03" w14:textId="77777777" w:rsidR="009E5705" w:rsidRPr="009E5705" w:rsidRDefault="009E5705" w:rsidP="009E5705">
            <w:pPr>
              <w:numPr>
                <w:ilvl w:val="1"/>
                <w:numId w:val="35"/>
              </w:numPr>
              <w:spacing w:after="120"/>
              <w:textAlignment w:val="center"/>
              <w:rPr>
                <w:rFonts w:ascii="Calibri" w:eastAsia="Times New Roman" w:hAnsi="Calibri" w:cs="Calibri"/>
                <w:sz w:val="22"/>
                <w:lang w:val="en-GB"/>
              </w:rPr>
            </w:pPr>
            <w:r w:rsidRPr="009E5705">
              <w:rPr>
                <w:rFonts w:eastAsia="Times New Roman" w:cs="Times New Roman"/>
                <w:color w:val="000000"/>
                <w:szCs w:val="20"/>
                <w:lang w:val="en-GB"/>
              </w:rPr>
              <w:t>Option 3:</w:t>
            </w:r>
          </w:p>
          <w:p w14:paraId="143D5BD8" w14:textId="77777777" w:rsidR="009E5705" w:rsidRPr="009E5705" w:rsidRDefault="009E5705" w:rsidP="009E5705">
            <w:pPr>
              <w:numPr>
                <w:ilvl w:val="2"/>
                <w:numId w:val="35"/>
              </w:numPr>
              <w:spacing w:after="120"/>
              <w:textAlignment w:val="center"/>
              <w:rPr>
                <w:rFonts w:ascii="Calibri" w:eastAsia="Times New Roman" w:hAnsi="Calibri" w:cs="Calibri"/>
                <w:sz w:val="22"/>
                <w:lang w:val="en-GB"/>
              </w:rPr>
            </w:pPr>
            <w:r w:rsidRPr="009E5705">
              <w:rPr>
                <w:rFonts w:eastAsia="Times New Roman" w:cs="Times New Roman"/>
                <w:color w:val="000000"/>
                <w:szCs w:val="20"/>
                <w:lang w:val="en-GB"/>
              </w:rPr>
              <w:lastRenderedPageBreak/>
              <w:t>The legacy accuracy requirements in section 10.1.20 of TS 38.133 apply for L1-RSRP measurements under multi-rx operation, with a clarification that multi-rx chain L1-RSRP accuracy requirements apply for FR2-1.</w:t>
            </w:r>
          </w:p>
          <w:p w14:paraId="10F91F99" w14:textId="77777777" w:rsidR="009E5705" w:rsidRPr="009E5705" w:rsidRDefault="009E5705" w:rsidP="009E5705">
            <w:pPr>
              <w:numPr>
                <w:ilvl w:val="2"/>
                <w:numId w:val="35"/>
              </w:numPr>
              <w:spacing w:after="120"/>
              <w:textAlignment w:val="center"/>
              <w:rPr>
                <w:rFonts w:ascii="Calibri" w:eastAsia="Times New Roman" w:hAnsi="Calibri" w:cs="Calibri"/>
                <w:sz w:val="22"/>
                <w:lang w:val="en-GB"/>
              </w:rPr>
            </w:pPr>
            <w:r w:rsidRPr="009E5705">
              <w:rPr>
                <w:rFonts w:eastAsia="Times New Roman" w:cs="Times New Roman"/>
                <w:color w:val="000000"/>
                <w:szCs w:val="20"/>
                <w:lang w:val="en-GB"/>
              </w:rPr>
              <w:t>No new accuracy requirements section is created for L1-RSRP measurements under multi-rx operation.</w:t>
            </w:r>
          </w:p>
          <w:p w14:paraId="286A3AFF" w14:textId="77777777" w:rsidR="00CC1A0B" w:rsidRDefault="00CC1A0B" w:rsidP="0010792E">
            <w:pPr>
              <w:rPr>
                <w:lang w:val="en-GB"/>
              </w:rPr>
            </w:pPr>
          </w:p>
        </w:tc>
      </w:tr>
    </w:tbl>
    <w:p w14:paraId="7C939307" w14:textId="77777777" w:rsidR="00CC1A0B" w:rsidRDefault="00CC1A0B" w:rsidP="00EE44BD">
      <w:pPr>
        <w:ind w:left="720"/>
        <w:rPr>
          <w:lang w:val="en-GB"/>
        </w:rPr>
      </w:pPr>
    </w:p>
    <w:p w14:paraId="447C6AE7" w14:textId="2925ECF4" w:rsidR="00CC1A0B" w:rsidRPr="0010792E" w:rsidRDefault="00CC1A0B" w:rsidP="00D52B7F">
      <w:pPr>
        <w:rPr>
          <w:lang w:val="en-GB"/>
        </w:rPr>
      </w:pPr>
      <w:r>
        <w:rPr>
          <w:lang w:val="en-GB"/>
        </w:rPr>
        <w:t xml:space="preserve">We support Option </w:t>
      </w:r>
      <w:r w:rsidR="009E5705">
        <w:rPr>
          <w:lang w:val="en-GB"/>
        </w:rPr>
        <w:t>3</w:t>
      </w:r>
      <w:r>
        <w:rPr>
          <w:lang w:val="en-GB"/>
        </w:rPr>
        <w:t xml:space="preserve"> i.e. there is no need to define any new accuracy requirements for group-based or non-group-based L1-RSRP measurements. Both shall fulfil the measurement accuracy requirements in section 10.1.20. </w:t>
      </w:r>
    </w:p>
    <w:p w14:paraId="741E0764" w14:textId="77777777" w:rsidR="00CC1A0B" w:rsidRDefault="00CC1A0B" w:rsidP="00F13737">
      <w:pPr>
        <w:pStyle w:val="RAN4proposal"/>
      </w:pPr>
      <w:bookmarkStart w:id="2" w:name="_Toc159231751"/>
      <w:r>
        <w:t xml:space="preserve">Reuse the existing L1-RSRP measurement accuracy requirements for group-based and non-group-based L1-RSRP </w:t>
      </w:r>
      <w:r w:rsidRPr="00480B76">
        <w:t>measurements</w:t>
      </w:r>
      <w:r>
        <w:t xml:space="preserve"> for a multi-Rx capable UE.</w:t>
      </w:r>
      <w:bookmarkEnd w:id="2"/>
      <w:r>
        <w:t xml:space="preserve"> </w:t>
      </w:r>
    </w:p>
    <w:p w14:paraId="2FF18F2F" w14:textId="1434DBFA" w:rsidR="009A794E" w:rsidRPr="009A794E" w:rsidRDefault="009A794E">
      <w:pPr>
        <w:pStyle w:val="RAN4H1"/>
      </w:pPr>
      <w:r w:rsidRPr="009A794E">
        <w:rPr>
          <w:rStyle w:val="normaltextrun"/>
          <w:color w:val="000000"/>
          <w:shd w:val="clear" w:color="auto" w:fill="FFFFFF"/>
        </w:rPr>
        <w:t>Test cases</w:t>
      </w:r>
    </w:p>
    <w:p w14:paraId="2F64DA9D" w14:textId="482931CD" w:rsidR="00CC3468" w:rsidRDefault="00CC3468" w:rsidP="009D5834">
      <w:pPr>
        <w:pStyle w:val="RAN4H2"/>
        <w:rPr>
          <w:lang w:val="en-GB"/>
        </w:rPr>
      </w:pPr>
      <w:r>
        <w:rPr>
          <w:lang w:val="en-GB"/>
        </w:rPr>
        <w:t>Number of probes in RRM test cases</w:t>
      </w:r>
    </w:p>
    <w:p w14:paraId="6BBCDE4F" w14:textId="3F134C8C" w:rsidR="004A2B7C" w:rsidRDefault="0061104F" w:rsidP="00D52B7F">
      <w:pPr>
        <w:ind w:left="360"/>
        <w:rPr>
          <w:rFonts w:cs="Times New Roman"/>
          <w:highlight w:val="yellow"/>
          <w:lang w:val="en-GB"/>
        </w:rPr>
      </w:pPr>
      <w:r w:rsidRPr="00E76A77">
        <w:rPr>
          <w:rFonts w:cs="Times New Roman"/>
          <w:noProof/>
          <w:highlight w:val="yellow"/>
          <w:lang w:val="en-GB"/>
        </w:rPr>
        <mc:AlternateContent>
          <mc:Choice Requires="wps">
            <w:drawing>
              <wp:anchor distT="45720" distB="45720" distL="114300" distR="114300" simplePos="0" relativeHeight="251658243" behindDoc="0" locked="0" layoutInCell="1" allowOverlap="1" wp14:anchorId="5F2CCC47" wp14:editId="2C27E4E6">
                <wp:simplePos x="0" y="0"/>
                <wp:positionH relativeFrom="column">
                  <wp:posOffset>444500</wp:posOffset>
                </wp:positionH>
                <wp:positionV relativeFrom="paragraph">
                  <wp:posOffset>775335</wp:posOffset>
                </wp:positionV>
                <wp:extent cx="5956300" cy="4241800"/>
                <wp:effectExtent l="0" t="0" r="25400" b="2540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0" cy="4241800"/>
                        </a:xfrm>
                        <a:prstGeom prst="rect">
                          <a:avLst/>
                        </a:prstGeom>
                        <a:solidFill>
                          <a:srgbClr val="FFFFFF"/>
                        </a:solidFill>
                        <a:ln w="9525">
                          <a:solidFill>
                            <a:srgbClr val="000000"/>
                          </a:solidFill>
                          <a:miter lim="800000"/>
                          <a:headEnd/>
                          <a:tailEnd/>
                        </a:ln>
                      </wps:spPr>
                      <wps:txbx>
                        <w:txbxContent>
                          <w:p w14:paraId="2218B51C" w14:textId="48ED29E8" w:rsidR="0086153B" w:rsidRDefault="0086153B" w:rsidP="0086153B">
                            <w:pPr>
                              <w:rPr>
                                <w:b/>
                                <w:u w:val="single"/>
                                <w:lang w:eastAsia="ko-KR"/>
                              </w:rPr>
                            </w:pPr>
                            <w:r>
                              <w:rPr>
                                <w:b/>
                                <w:u w:val="single"/>
                                <w:lang w:eastAsia="ko-KR"/>
                              </w:rPr>
                              <w:t>Issue 2-1-1: Measurement setup for Dual DCI switching (i.e., Category 2)</w:t>
                            </w:r>
                          </w:p>
                          <w:p w14:paraId="28E8BDA7" w14:textId="77777777" w:rsidR="0086153B" w:rsidRDefault="0086153B" w:rsidP="0086153B">
                            <w:pPr>
                              <w:pStyle w:val="ListParagraph"/>
                              <w:numPr>
                                <w:ilvl w:val="0"/>
                                <w:numId w:val="34"/>
                              </w:numPr>
                              <w:autoSpaceDN w:val="0"/>
                              <w:spacing w:after="120" w:line="240" w:lineRule="auto"/>
                              <w:ind w:left="720"/>
                              <w:contextualSpacing w:val="0"/>
                              <w:rPr>
                                <w:rFonts w:eastAsia="SimSun"/>
                                <w:szCs w:val="24"/>
                                <w:lang w:eastAsia="zh-CN"/>
                              </w:rPr>
                            </w:pPr>
                            <w:r>
                              <w:rPr>
                                <w:rFonts w:eastAsia="SimSun"/>
                                <w:szCs w:val="24"/>
                                <w:lang w:eastAsia="zh-CN"/>
                              </w:rPr>
                              <w:t>Proposals</w:t>
                            </w:r>
                          </w:p>
                          <w:p w14:paraId="03C07847" w14:textId="77777777" w:rsidR="0086153B" w:rsidRDefault="0086153B" w:rsidP="0086153B">
                            <w:pPr>
                              <w:pStyle w:val="ListParagraph"/>
                              <w:numPr>
                                <w:ilvl w:val="1"/>
                                <w:numId w:val="34"/>
                              </w:numPr>
                              <w:autoSpaceDN w:val="0"/>
                              <w:spacing w:after="120" w:line="240" w:lineRule="auto"/>
                              <w:ind w:left="1440"/>
                              <w:contextualSpacing w:val="0"/>
                              <w:rPr>
                                <w:rFonts w:eastAsia="SimSun"/>
                                <w:szCs w:val="24"/>
                                <w:lang w:eastAsia="zh-CN"/>
                              </w:rPr>
                            </w:pPr>
                            <w:r>
                              <w:rPr>
                                <w:rFonts w:eastAsia="SimSun"/>
                                <w:szCs w:val="24"/>
                                <w:lang w:eastAsia="zh-CN"/>
                              </w:rPr>
                              <w:t>Proposal 1 (Qualcomm): To update test procedure as follows: In the period of T1, DUT connects TCI state 0 via Probe#1. In the period of T2, DUT measures the SSBs from Probe 2 and Probe 3 while keeping the connection from Probe 1. And then DUT simultaneously switches from Probe 1 to Probe 2 and 3.</w:t>
                            </w:r>
                          </w:p>
                          <w:p w14:paraId="09D2EFA6" w14:textId="29EB6C15" w:rsidR="0086153B" w:rsidRDefault="0086153B" w:rsidP="0086153B">
                            <w:pPr>
                              <w:pStyle w:val="ListParagraph"/>
                              <w:spacing w:after="120"/>
                              <w:ind w:left="1656"/>
                              <w:jc w:val="center"/>
                              <w:rPr>
                                <w:rFonts w:eastAsia="SimSun"/>
                                <w:szCs w:val="24"/>
                                <w:lang w:eastAsia="zh-CN"/>
                              </w:rPr>
                            </w:pPr>
                          </w:p>
                          <w:p w14:paraId="4BF36C81" w14:textId="6102C010" w:rsidR="0086153B" w:rsidRDefault="0086153B" w:rsidP="0086153B">
                            <w:pPr>
                              <w:pStyle w:val="ListParagraph"/>
                              <w:numPr>
                                <w:ilvl w:val="1"/>
                                <w:numId w:val="34"/>
                              </w:numPr>
                              <w:autoSpaceDN w:val="0"/>
                              <w:spacing w:after="120" w:line="240" w:lineRule="auto"/>
                              <w:ind w:left="1440"/>
                              <w:contextualSpacing w:val="0"/>
                              <w:rPr>
                                <w:rFonts w:eastAsia="SimSun"/>
                                <w:szCs w:val="24"/>
                                <w:lang w:eastAsia="zh-CN"/>
                              </w:rPr>
                            </w:pPr>
                            <w:r>
                              <w:rPr>
                                <w:rFonts w:eastAsia="SimSun"/>
                                <w:szCs w:val="24"/>
                                <w:lang w:eastAsia="zh-CN"/>
                              </w:rPr>
                              <w:t>Proposal 2 (Huawei): Consider the measurement setup below as baseline for Dual TCI switching</w:t>
                            </w:r>
                          </w:p>
                          <w:p w14:paraId="5496611C" w14:textId="5B23389C" w:rsidR="0086153B" w:rsidRDefault="0086153B" w:rsidP="0086153B">
                            <w:pPr>
                              <w:pStyle w:val="ListParagraph"/>
                              <w:spacing w:after="120"/>
                              <w:ind w:left="1440"/>
                              <w:rPr>
                                <w:rFonts w:eastAsia="SimSun"/>
                                <w:szCs w:val="24"/>
                                <w:lang w:eastAsia="zh-CN"/>
                              </w:rPr>
                            </w:pPr>
                            <w:r>
                              <w:rPr>
                                <w:noProof/>
                                <w:lang w:eastAsia="zh-CN"/>
                              </w:rPr>
                              <w:drawing>
                                <wp:inline distT="0" distB="0" distL="0" distR="0" wp14:anchorId="618E106B" wp14:editId="49568281">
                                  <wp:extent cx="3384550" cy="1643252"/>
                                  <wp:effectExtent l="0" t="0" r="6350" b="0"/>
                                  <wp:docPr id="1172971108" name="Picture 1172971108" descr="A diagram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diagram of different colored squares&#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91098" cy="1646431"/>
                                          </a:xfrm>
                                          <a:prstGeom prst="rect">
                                            <a:avLst/>
                                          </a:prstGeom>
                                          <a:noFill/>
                                          <a:ln>
                                            <a:noFill/>
                                          </a:ln>
                                        </pic:spPr>
                                      </pic:pic>
                                    </a:graphicData>
                                  </a:graphic>
                                </wp:inline>
                              </w:drawing>
                            </w:r>
                          </w:p>
                          <w:p w14:paraId="28185D9E" w14:textId="77777777" w:rsidR="0086153B" w:rsidRDefault="0086153B" w:rsidP="0086153B">
                            <w:pPr>
                              <w:pStyle w:val="ListParagraph"/>
                              <w:spacing w:after="120"/>
                              <w:ind w:left="1440"/>
                              <w:jc w:val="center"/>
                              <w:rPr>
                                <w:rFonts w:eastAsia="SimSun"/>
                                <w:szCs w:val="24"/>
                                <w:lang w:eastAsia="zh-CN"/>
                              </w:rPr>
                            </w:pPr>
                            <w:r>
                              <w:rPr>
                                <w:rFonts w:eastAsia="SimSun"/>
                                <w:szCs w:val="24"/>
                                <w:lang w:eastAsia="zh-CN"/>
                              </w:rPr>
                              <w:t>Figure 2.2.1-2: Illustration of test procedure for Dual TCI switching</w:t>
                            </w:r>
                          </w:p>
                          <w:p w14:paraId="49CC4632" w14:textId="77777777" w:rsidR="0086153B" w:rsidRDefault="0086153B" w:rsidP="0086153B">
                            <w:pPr>
                              <w:pStyle w:val="ListParagraph"/>
                              <w:numPr>
                                <w:ilvl w:val="0"/>
                                <w:numId w:val="34"/>
                              </w:numPr>
                              <w:autoSpaceDN w:val="0"/>
                              <w:spacing w:after="120" w:line="240" w:lineRule="auto"/>
                              <w:ind w:left="720"/>
                              <w:contextualSpacing w:val="0"/>
                              <w:rPr>
                                <w:rFonts w:eastAsia="SimSun"/>
                                <w:szCs w:val="24"/>
                                <w:lang w:eastAsia="zh-CN"/>
                              </w:rPr>
                            </w:pPr>
                            <w:r>
                              <w:rPr>
                                <w:rFonts w:eastAsia="SimSun"/>
                                <w:szCs w:val="24"/>
                                <w:lang w:eastAsia="zh-CN"/>
                              </w:rPr>
                              <w:t>Recommended WF</w:t>
                            </w:r>
                          </w:p>
                          <w:p w14:paraId="3CADD72A" w14:textId="77777777" w:rsidR="0086153B" w:rsidRDefault="0086153B" w:rsidP="0086153B">
                            <w:pPr>
                              <w:pStyle w:val="ListParagraph"/>
                              <w:numPr>
                                <w:ilvl w:val="1"/>
                                <w:numId w:val="34"/>
                              </w:numPr>
                              <w:autoSpaceDN w:val="0"/>
                              <w:spacing w:after="120" w:line="240" w:lineRule="auto"/>
                              <w:ind w:left="1440"/>
                              <w:contextualSpacing w:val="0"/>
                              <w:rPr>
                                <w:rFonts w:eastAsia="SimSun"/>
                                <w:szCs w:val="24"/>
                                <w:lang w:eastAsia="zh-CN"/>
                              </w:rPr>
                            </w:pPr>
                            <w:r>
                              <w:rPr>
                                <w:rFonts w:eastAsia="SimSun"/>
                                <w:szCs w:val="24"/>
                                <w:lang w:eastAsia="zh-CN"/>
                              </w:rPr>
                              <w:t>Proposal 1 and proposal 2 are agreed as the measurement setup for Dual TCI switching</w:t>
                            </w:r>
                          </w:p>
                          <w:p w14:paraId="7424286B" w14:textId="77777777" w:rsidR="0086153B" w:rsidRDefault="0086153B" w:rsidP="0086153B">
                            <w:pPr>
                              <w:pStyle w:val="ListParagraph"/>
                              <w:numPr>
                                <w:ilvl w:val="1"/>
                                <w:numId w:val="34"/>
                              </w:numPr>
                              <w:autoSpaceDN w:val="0"/>
                              <w:spacing w:after="120" w:line="240" w:lineRule="auto"/>
                              <w:ind w:left="1440"/>
                              <w:contextualSpacing w:val="0"/>
                              <w:rPr>
                                <w:rFonts w:eastAsia="SimSun"/>
                                <w:szCs w:val="24"/>
                                <w:lang w:eastAsia="zh-CN"/>
                              </w:rPr>
                            </w:pPr>
                            <w:r>
                              <w:rPr>
                                <w:rFonts w:eastAsia="SimSun"/>
                                <w:szCs w:val="24"/>
                                <w:lang w:eastAsia="zh-CN"/>
                              </w:rPr>
                              <w:t>To capture both two proposals in TR 38.871.</w:t>
                            </w:r>
                          </w:p>
                          <w:p w14:paraId="7C0EF22D" w14:textId="58517B1F" w:rsidR="00E76A77" w:rsidRDefault="00E76A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2CCC47" id="_x0000_t202" coordsize="21600,21600" o:spt="202" path="m,l,21600r21600,l21600,xe">
                <v:stroke joinstyle="miter"/>
                <v:path gradientshapeok="t" o:connecttype="rect"/>
              </v:shapetype>
              <v:shape id="Text Box 217" o:spid="_x0000_s1026" type="#_x0000_t202" style="position:absolute;left:0;text-align:left;margin-left:35pt;margin-top:61.05pt;width:469pt;height:334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">
                <v:textbox>
                  <w:txbxContent>
                    <w:p w14:paraId="2218B51C" w14:textId="48ED29E8" w:rsidR="0086153B" w:rsidRDefault="0086153B" w:rsidP="0086153B">
                      <w:pPr>
                        <w:rPr>
                          <w:b/>
                          <w:u w:val="single"/>
                          <w:lang w:eastAsia="ko-KR"/>
                        </w:rPr>
                      </w:pPr>
                      <w:r>
                        <w:rPr>
                          <w:b/>
                          <w:u w:val="single"/>
                          <w:lang w:eastAsia="ko-KR"/>
                        </w:rPr>
                        <w:t>Issue 2-1-1: Measurement setup for Dual DCI switching (i.e., Category 2)</w:t>
                      </w:r>
                    </w:p>
                    <w:p w14:paraId="28E8BDA7" w14:textId="77777777" w:rsidR="0086153B" w:rsidRDefault="0086153B" w:rsidP="0086153B">
                      <w:pPr>
                        <w:pStyle w:val="ListParagraph"/>
                        <w:numPr>
                          <w:ilvl w:val="0"/>
                          <w:numId w:val="34"/>
                        </w:numPr>
                        <w:autoSpaceDN w:val="0"/>
                        <w:spacing w:after="120" w:line="240" w:lineRule="auto"/>
                        <w:ind w:left="720"/>
                        <w:contextualSpacing w:val="0"/>
                        <w:rPr>
                          <w:rFonts w:eastAsia="SimSun"/>
                          <w:szCs w:val="24"/>
                          <w:lang w:eastAsia="zh-CN"/>
                        </w:rPr>
                      </w:pPr>
                      <w:r>
                        <w:rPr>
                          <w:rFonts w:eastAsia="SimSun"/>
                          <w:szCs w:val="24"/>
                          <w:lang w:eastAsia="zh-CN"/>
                        </w:rPr>
                        <w:t>Proposals</w:t>
                      </w:r>
                    </w:p>
                    <w:p w14:paraId="03C07847" w14:textId="77777777" w:rsidR="0086153B" w:rsidRDefault="0086153B" w:rsidP="0086153B">
                      <w:pPr>
                        <w:pStyle w:val="ListParagraph"/>
                        <w:numPr>
                          <w:ilvl w:val="1"/>
                          <w:numId w:val="34"/>
                        </w:numPr>
                        <w:autoSpaceDN w:val="0"/>
                        <w:spacing w:after="120" w:line="240" w:lineRule="auto"/>
                        <w:ind w:left="1440"/>
                        <w:contextualSpacing w:val="0"/>
                        <w:rPr>
                          <w:rFonts w:eastAsia="SimSun"/>
                          <w:szCs w:val="24"/>
                          <w:lang w:eastAsia="zh-CN"/>
                        </w:rPr>
                      </w:pPr>
                      <w:r>
                        <w:rPr>
                          <w:rFonts w:eastAsia="SimSun"/>
                          <w:szCs w:val="24"/>
                          <w:lang w:eastAsia="zh-CN"/>
                        </w:rPr>
                        <w:t>Proposal 1 (Qualcomm): To update test procedure as follows: In the period of T1, DUT connects TCI state 0 via Probe#1. In the period of T2, DUT measures the SSBs from Probe 2 and Probe 3 while keeping the connection from Probe 1. And then DUT simultaneously switches from Probe 1 to Probe 2 and 3.</w:t>
                      </w:r>
                    </w:p>
                    <w:p w14:paraId="09D2EFA6" w14:textId="29EB6C15" w:rsidR="0086153B" w:rsidRDefault="0086153B" w:rsidP="0086153B">
                      <w:pPr>
                        <w:pStyle w:val="ListParagraph"/>
                        <w:spacing w:after="120"/>
                        <w:ind w:left="1656"/>
                        <w:jc w:val="center"/>
                        <w:rPr>
                          <w:rFonts w:eastAsia="SimSun"/>
                          <w:szCs w:val="24"/>
                          <w:lang w:eastAsia="zh-CN"/>
                        </w:rPr>
                      </w:pPr>
                    </w:p>
                    <w:p w14:paraId="4BF36C81" w14:textId="6102C010" w:rsidR="0086153B" w:rsidRDefault="0086153B" w:rsidP="0086153B">
                      <w:pPr>
                        <w:pStyle w:val="ListParagraph"/>
                        <w:numPr>
                          <w:ilvl w:val="1"/>
                          <w:numId w:val="34"/>
                        </w:numPr>
                        <w:autoSpaceDN w:val="0"/>
                        <w:spacing w:after="120" w:line="240" w:lineRule="auto"/>
                        <w:ind w:left="1440"/>
                        <w:contextualSpacing w:val="0"/>
                        <w:rPr>
                          <w:rFonts w:eastAsia="SimSun"/>
                          <w:szCs w:val="24"/>
                          <w:lang w:eastAsia="zh-CN"/>
                        </w:rPr>
                      </w:pPr>
                      <w:r>
                        <w:rPr>
                          <w:rFonts w:eastAsia="SimSun"/>
                          <w:szCs w:val="24"/>
                          <w:lang w:eastAsia="zh-CN"/>
                        </w:rPr>
                        <w:t>Proposal 2 (Huawei): Consider the measurement setup below as baseline for Dual TCI switching</w:t>
                      </w:r>
                    </w:p>
                    <w:p w14:paraId="5496611C" w14:textId="5B23389C" w:rsidR="0086153B" w:rsidRDefault="0086153B" w:rsidP="0086153B">
                      <w:pPr>
                        <w:pStyle w:val="ListParagraph"/>
                        <w:spacing w:after="120"/>
                        <w:ind w:left="1440"/>
                        <w:rPr>
                          <w:rFonts w:eastAsia="SimSun"/>
                          <w:szCs w:val="24"/>
                          <w:lang w:eastAsia="zh-CN"/>
                        </w:rPr>
                      </w:pPr>
                      <w:r>
                        <w:rPr>
                          <w:noProof/>
                          <w:lang w:eastAsia="zh-CN"/>
                        </w:rPr>
                        <w:drawing>
                          <wp:inline distT="0" distB="0" distL="0" distR="0" wp14:anchorId="618E106B" wp14:editId="49568281">
                            <wp:extent cx="3384550" cy="1643252"/>
                            <wp:effectExtent l="0" t="0" r="6350" b="0"/>
                            <wp:docPr id="1172971108" name="Picture 1172971108" descr="A diagram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diagram of different colored squares&#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91098" cy="1646431"/>
                                    </a:xfrm>
                                    <a:prstGeom prst="rect">
                                      <a:avLst/>
                                    </a:prstGeom>
                                    <a:noFill/>
                                    <a:ln>
                                      <a:noFill/>
                                    </a:ln>
                                  </pic:spPr>
                                </pic:pic>
                              </a:graphicData>
                            </a:graphic>
                          </wp:inline>
                        </w:drawing>
                      </w:r>
                    </w:p>
                    <w:p w14:paraId="28185D9E" w14:textId="77777777" w:rsidR="0086153B" w:rsidRDefault="0086153B" w:rsidP="0086153B">
                      <w:pPr>
                        <w:pStyle w:val="ListParagraph"/>
                        <w:spacing w:after="120"/>
                        <w:ind w:left="1440"/>
                        <w:jc w:val="center"/>
                        <w:rPr>
                          <w:rFonts w:eastAsia="SimSun"/>
                          <w:szCs w:val="24"/>
                          <w:lang w:eastAsia="zh-CN"/>
                        </w:rPr>
                      </w:pPr>
                      <w:r>
                        <w:rPr>
                          <w:rFonts w:eastAsia="SimSun"/>
                          <w:szCs w:val="24"/>
                          <w:lang w:eastAsia="zh-CN"/>
                        </w:rPr>
                        <w:t>Figure 2.2.1-2: Illustration of test procedure for Dual TCI switching</w:t>
                      </w:r>
                    </w:p>
                    <w:p w14:paraId="49CC4632" w14:textId="77777777" w:rsidR="0086153B" w:rsidRDefault="0086153B" w:rsidP="0086153B">
                      <w:pPr>
                        <w:pStyle w:val="ListParagraph"/>
                        <w:numPr>
                          <w:ilvl w:val="0"/>
                          <w:numId w:val="34"/>
                        </w:numPr>
                        <w:autoSpaceDN w:val="0"/>
                        <w:spacing w:after="120" w:line="240" w:lineRule="auto"/>
                        <w:ind w:left="720"/>
                        <w:contextualSpacing w:val="0"/>
                        <w:rPr>
                          <w:rFonts w:eastAsia="SimSun"/>
                          <w:szCs w:val="24"/>
                          <w:lang w:eastAsia="zh-CN"/>
                        </w:rPr>
                      </w:pPr>
                      <w:r>
                        <w:rPr>
                          <w:rFonts w:eastAsia="SimSun"/>
                          <w:szCs w:val="24"/>
                          <w:lang w:eastAsia="zh-CN"/>
                        </w:rPr>
                        <w:t>Recommended WF</w:t>
                      </w:r>
                    </w:p>
                    <w:p w14:paraId="3CADD72A" w14:textId="77777777" w:rsidR="0086153B" w:rsidRDefault="0086153B" w:rsidP="0086153B">
                      <w:pPr>
                        <w:pStyle w:val="ListParagraph"/>
                        <w:numPr>
                          <w:ilvl w:val="1"/>
                          <w:numId w:val="34"/>
                        </w:numPr>
                        <w:autoSpaceDN w:val="0"/>
                        <w:spacing w:after="120" w:line="240" w:lineRule="auto"/>
                        <w:ind w:left="1440"/>
                        <w:contextualSpacing w:val="0"/>
                        <w:rPr>
                          <w:rFonts w:eastAsia="SimSun"/>
                          <w:szCs w:val="24"/>
                          <w:lang w:eastAsia="zh-CN"/>
                        </w:rPr>
                      </w:pPr>
                      <w:r>
                        <w:rPr>
                          <w:rFonts w:eastAsia="SimSun"/>
                          <w:szCs w:val="24"/>
                          <w:lang w:eastAsia="zh-CN"/>
                        </w:rPr>
                        <w:t>Proposal 1 and proposal 2 are agreed as the measurement setup for Dual TCI switching</w:t>
                      </w:r>
                    </w:p>
                    <w:p w14:paraId="7424286B" w14:textId="77777777" w:rsidR="0086153B" w:rsidRDefault="0086153B" w:rsidP="0086153B">
                      <w:pPr>
                        <w:pStyle w:val="ListParagraph"/>
                        <w:numPr>
                          <w:ilvl w:val="1"/>
                          <w:numId w:val="34"/>
                        </w:numPr>
                        <w:autoSpaceDN w:val="0"/>
                        <w:spacing w:after="120" w:line="240" w:lineRule="auto"/>
                        <w:ind w:left="1440"/>
                        <w:contextualSpacing w:val="0"/>
                        <w:rPr>
                          <w:rFonts w:eastAsia="SimSun"/>
                          <w:szCs w:val="24"/>
                          <w:lang w:eastAsia="zh-CN"/>
                        </w:rPr>
                      </w:pPr>
                      <w:r>
                        <w:rPr>
                          <w:rFonts w:eastAsia="SimSun"/>
                          <w:szCs w:val="24"/>
                          <w:lang w:eastAsia="zh-CN"/>
                        </w:rPr>
                        <w:t>To capture both two proposals in TR 38.871.</w:t>
                      </w:r>
                    </w:p>
                    <w:p w14:paraId="7C0EF22D" w14:textId="58517B1F" w:rsidR="00E76A77" w:rsidRDefault="00E76A77"/>
                  </w:txbxContent>
                </v:textbox>
                <w10:wrap type="square"/>
              </v:shape>
            </w:pict>
          </mc:Fallback>
        </mc:AlternateContent>
      </w:r>
      <w:r w:rsidR="00D9326C">
        <w:rPr>
          <w:lang w:val="en-GB"/>
        </w:rPr>
        <w:t xml:space="preserve">RAN4 has defined Core requirements for multi-Rx dual TCI state switch with group based beam reporting as a baseline. In order to verify if a UE can conform to the minimum TCI state switch delay requirements in a m-TRP scenario, it first needs to be able to perform group based beam reporting </w:t>
      </w:r>
      <w:r w:rsidR="00D9326C" w:rsidRPr="00D52B7F">
        <w:rPr>
          <w:lang w:val="en-GB"/>
        </w:rPr>
        <w:t xml:space="preserve">accurately. </w:t>
      </w:r>
      <w:r w:rsidR="00F17DFD" w:rsidRPr="00D52B7F">
        <w:rPr>
          <w:rFonts w:cs="Times New Roman"/>
          <w:lang w:val="en-GB"/>
        </w:rPr>
        <w:t>Study on NR frequency range 2 (FR2) Over-the-Air (OTA) testing enhancements</w:t>
      </w:r>
      <w:r w:rsidR="00F17DFD" w:rsidRPr="00D52B7F" w:rsidDel="00F17DFD">
        <w:rPr>
          <w:rFonts w:cs="Times New Roman"/>
          <w:lang w:val="en-GB"/>
        </w:rPr>
        <w:t xml:space="preserve"> </w:t>
      </w:r>
      <w:r w:rsidR="00A56A58" w:rsidRPr="00D52B7F">
        <w:rPr>
          <w:lang w:val="en-GB"/>
        </w:rPr>
        <w:t>agreed that as a baseline, 3 probes would be used to test dual TCI state switch</w:t>
      </w:r>
      <w:r w:rsidR="00D52B7F">
        <w:rPr>
          <w:lang w:val="en-GB"/>
        </w:rPr>
        <w:t xml:space="preserve"> [2][3]</w:t>
      </w:r>
      <w:r w:rsidR="00A56A58" w:rsidRPr="00D52B7F">
        <w:rPr>
          <w:lang w:val="en-GB"/>
        </w:rPr>
        <w:t>.</w:t>
      </w:r>
    </w:p>
    <w:p w14:paraId="66DD0F22" w14:textId="77777777" w:rsidR="004A2B7C" w:rsidRDefault="004A2B7C" w:rsidP="00EE44BD">
      <w:pPr>
        <w:ind w:left="720"/>
        <w:rPr>
          <w:rFonts w:cs="Times New Roman"/>
          <w:highlight w:val="yellow"/>
          <w:lang w:val="en-GB"/>
        </w:rPr>
      </w:pPr>
    </w:p>
    <w:p w14:paraId="361536D0" w14:textId="13704077" w:rsidR="00CC3468" w:rsidRDefault="00A56A58" w:rsidP="00D52B7F">
      <w:pPr>
        <w:ind w:left="360"/>
        <w:rPr>
          <w:lang w:val="en-GB"/>
        </w:rPr>
      </w:pPr>
      <w:r w:rsidRPr="002C47F3">
        <w:rPr>
          <w:highlight w:val="yellow"/>
          <w:lang w:val="en-GB"/>
        </w:rPr>
        <w:t xml:space="preserve"> </w:t>
      </w:r>
      <w:r w:rsidRPr="00D52B7F">
        <w:rPr>
          <w:lang w:val="en-GB"/>
        </w:rPr>
        <w:t>Some companies proposed to use the same baseline as agreed in the OTA study item</w:t>
      </w:r>
      <w:r w:rsidR="00AA40FF" w:rsidRPr="00D52B7F">
        <w:rPr>
          <w:lang w:val="en-GB"/>
        </w:rPr>
        <w:t xml:space="preserve"> in the last meeting</w:t>
      </w:r>
      <w:r w:rsidR="00410C81" w:rsidRPr="00D52B7F">
        <w:rPr>
          <w:lang w:val="en-GB"/>
        </w:rPr>
        <w:t xml:space="preserve">. However, </w:t>
      </w:r>
      <w:r w:rsidR="00330BC4" w:rsidRPr="00D52B7F">
        <w:rPr>
          <w:lang w:val="en-GB"/>
        </w:rPr>
        <w:t xml:space="preserve">since group-based reporting is a prerequisite for all multi-Rx requirements, </w:t>
      </w:r>
      <w:r w:rsidR="00016FD8" w:rsidRPr="00D52B7F">
        <w:rPr>
          <w:lang w:val="en-GB"/>
        </w:rPr>
        <w:t>before testing dual TCI state switc</w:t>
      </w:r>
      <w:r w:rsidR="00696BDB" w:rsidRPr="00D52B7F">
        <w:rPr>
          <w:lang w:val="en-GB"/>
        </w:rPr>
        <w:t xml:space="preserve">h delay, </w:t>
      </w:r>
      <w:r w:rsidR="00330BC4" w:rsidRPr="00D52B7F">
        <w:rPr>
          <w:lang w:val="en-GB"/>
        </w:rPr>
        <w:t xml:space="preserve">a UE would first need to pass a test case </w:t>
      </w:r>
      <w:r w:rsidR="00813F7D" w:rsidRPr="00D52B7F">
        <w:rPr>
          <w:lang w:val="en-GB"/>
        </w:rPr>
        <w:t xml:space="preserve">for group-based reporting. </w:t>
      </w:r>
      <w:r w:rsidRPr="00D52B7F">
        <w:rPr>
          <w:lang w:val="en-GB"/>
        </w:rPr>
        <w:t xml:space="preserve"> </w:t>
      </w:r>
      <w:r w:rsidR="00813F7D" w:rsidRPr="00D52B7F">
        <w:rPr>
          <w:lang w:val="en-GB"/>
        </w:rPr>
        <w:t>In our view</w:t>
      </w:r>
      <w:r w:rsidR="00A449A6" w:rsidRPr="00D52B7F">
        <w:rPr>
          <w:lang w:val="en-GB"/>
        </w:rPr>
        <w:t xml:space="preserve"> t</w:t>
      </w:r>
      <w:r w:rsidR="00D9326C" w:rsidRPr="00D52B7F">
        <w:rPr>
          <w:lang w:val="en-GB"/>
        </w:rPr>
        <w:t>his needs to be tested using four probes which would be close to replicating an on field/network scenario</w:t>
      </w:r>
      <w:r w:rsidR="00A40900" w:rsidRPr="00D52B7F">
        <w:rPr>
          <w:lang w:val="en-GB"/>
        </w:rPr>
        <w:t>, as shown in Figure 1</w:t>
      </w:r>
      <w:r w:rsidR="00D9326C" w:rsidRPr="00D52B7F">
        <w:rPr>
          <w:lang w:val="en-GB"/>
        </w:rPr>
        <w:t xml:space="preserve">. </w:t>
      </w:r>
      <w:r w:rsidR="00CD55DD" w:rsidRPr="00D52B7F">
        <w:rPr>
          <w:lang w:val="en-GB"/>
        </w:rPr>
        <w:t>Furthermore, TCI state switching test case</w:t>
      </w:r>
      <w:r w:rsidR="00B33E03" w:rsidRPr="00D52B7F">
        <w:rPr>
          <w:lang w:val="en-GB"/>
        </w:rPr>
        <w:t xml:space="preserve"> for dual to dual TCI states can follow the same setup</w:t>
      </w:r>
      <w:r w:rsidR="0081143B" w:rsidRPr="00D52B7F">
        <w:rPr>
          <w:lang w:val="en-GB"/>
        </w:rPr>
        <w:t>, where TCI states are as shown in Figure 1.</w:t>
      </w:r>
    </w:p>
    <w:p w14:paraId="6D9B83B7" w14:textId="77777777" w:rsidR="007F208A" w:rsidRPr="00144534" w:rsidRDefault="007F208A" w:rsidP="007F208A">
      <w:pPr>
        <w:keepNext/>
        <w:jc w:val="center"/>
      </w:pPr>
      <w:r w:rsidRPr="00144534">
        <w:object w:dxaOrig="11760" w:dyaOrig="6230" w14:anchorId="78263A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93.3pt" o:ole="">
            <v:imagedata r:id="rId14" o:title=""/>
          </v:shape>
          <o:OLEObject Type="Embed" ProgID="Visio.Drawing.15" ShapeID="_x0000_i1025" DrawAspect="Content" ObjectID="_1769853471" r:id="rId15"/>
        </w:object>
      </w:r>
    </w:p>
    <w:p w14:paraId="0218FEE4" w14:textId="3151F2EF" w:rsidR="007F208A" w:rsidRPr="00144534" w:rsidRDefault="007F208A" w:rsidP="007F208A">
      <w:pPr>
        <w:pStyle w:val="Caption"/>
      </w:pPr>
      <w:r w:rsidRPr="00144534">
        <w:t xml:space="preserve">Figure </w:t>
      </w:r>
      <w:r>
        <w:t>1</w:t>
      </w:r>
      <w:r w:rsidRPr="00144534">
        <w:t>: Test setup with 4 probes.</w:t>
      </w:r>
    </w:p>
    <w:p w14:paraId="28D0876F" w14:textId="77777777" w:rsidR="007F208A" w:rsidRDefault="007F208A" w:rsidP="000F3F73">
      <w:pPr>
        <w:rPr>
          <w:lang w:val="en-GB"/>
        </w:rPr>
      </w:pPr>
    </w:p>
    <w:p w14:paraId="2BB64DC2" w14:textId="71FE86C4" w:rsidR="005D2D68" w:rsidRDefault="00D942EE" w:rsidP="00D52B7F">
      <w:pPr>
        <w:rPr>
          <w:lang w:val="en-GB"/>
        </w:rPr>
      </w:pPr>
      <w:r>
        <w:rPr>
          <w:lang w:val="en-GB"/>
        </w:rPr>
        <w:t xml:space="preserve">If less than </w:t>
      </w:r>
      <w:r w:rsidR="00204615">
        <w:rPr>
          <w:lang w:val="en-GB"/>
        </w:rPr>
        <w:t>four</w:t>
      </w:r>
      <w:r>
        <w:rPr>
          <w:lang w:val="en-GB"/>
        </w:rPr>
        <w:t xml:space="preserve"> probes are used, the test equipment would have to emulate different DL transmit beams by transmitting </w:t>
      </w:r>
      <w:r w:rsidR="00C36B66">
        <w:rPr>
          <w:lang w:val="en-GB"/>
        </w:rPr>
        <w:t xml:space="preserve">different signals with </w:t>
      </w:r>
      <w:r w:rsidR="005D2D68">
        <w:rPr>
          <w:lang w:val="en-GB"/>
        </w:rPr>
        <w:t xml:space="preserve">different power and delay. </w:t>
      </w:r>
    </w:p>
    <w:p w14:paraId="619CE1E3" w14:textId="3152A15A" w:rsidR="00D9326C" w:rsidRDefault="00A30F26" w:rsidP="00F13737">
      <w:pPr>
        <w:pStyle w:val="RAN4proposal"/>
      </w:pPr>
      <w:bookmarkStart w:id="3" w:name="_Toc159231752"/>
      <w:r>
        <w:t>F</w:t>
      </w:r>
      <w:r w:rsidR="00D9326C">
        <w:t xml:space="preserve">our probes should be used for L1-RSRP group based beam reporting test cases and well as </w:t>
      </w:r>
      <w:r w:rsidR="00582680">
        <w:t xml:space="preserve">for </w:t>
      </w:r>
      <w:r w:rsidR="00D9326C">
        <w:t>TCI state switch delay test cases.</w:t>
      </w:r>
      <w:bookmarkEnd w:id="3"/>
    </w:p>
    <w:p w14:paraId="57316CD3" w14:textId="6501CF5E" w:rsidR="00F80ADB" w:rsidRPr="00144534" w:rsidRDefault="00F80ADB" w:rsidP="00AE2AAA">
      <w:pPr>
        <w:pStyle w:val="RAN4H2"/>
        <w:rPr>
          <w:lang w:val="en-GB"/>
        </w:rPr>
      </w:pPr>
      <w:r w:rsidRPr="00AE2AAA">
        <w:t>Group</w:t>
      </w:r>
      <w:r w:rsidRPr="00144534">
        <w:rPr>
          <w:lang w:val="en-GB"/>
        </w:rPr>
        <w:t xml:space="preserve"> based beam reporting</w:t>
      </w:r>
    </w:p>
    <w:p w14:paraId="1E28ACB4" w14:textId="27C5DCFE" w:rsidR="00F80ADB" w:rsidRPr="00144534" w:rsidRDefault="0061104F" w:rsidP="00F55A26">
      <w:pPr>
        <w:ind w:left="360"/>
        <w:rPr>
          <w:lang w:val="en-GB"/>
        </w:rPr>
      </w:pPr>
      <w:r w:rsidRPr="00AE2AAA">
        <w:rPr>
          <w:noProof/>
        </w:rPr>
        <mc:AlternateContent>
          <mc:Choice Requires="wps">
            <w:drawing>
              <wp:anchor distT="45720" distB="45720" distL="114300" distR="114300" simplePos="0" relativeHeight="251658242" behindDoc="0" locked="0" layoutInCell="1" allowOverlap="1" wp14:anchorId="5A021C90" wp14:editId="462B3F9A">
                <wp:simplePos x="0" y="0"/>
                <wp:positionH relativeFrom="column">
                  <wp:posOffset>397803</wp:posOffset>
                </wp:positionH>
                <wp:positionV relativeFrom="paragraph">
                  <wp:posOffset>85480</wp:posOffset>
                </wp:positionV>
                <wp:extent cx="5652135" cy="654050"/>
                <wp:effectExtent l="0" t="0" r="24765" b="12700"/>
                <wp:wrapSquare wrapText="bothSides"/>
                <wp:docPr id="1554966830" name="Text Box 15549668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2135" cy="654050"/>
                        </a:xfrm>
                        <a:prstGeom prst="rect">
                          <a:avLst/>
                        </a:prstGeom>
                        <a:solidFill>
                          <a:srgbClr val="FFFFFF"/>
                        </a:solidFill>
                        <a:ln w="9525">
                          <a:solidFill>
                            <a:srgbClr val="000000"/>
                          </a:solidFill>
                          <a:miter lim="800000"/>
                          <a:headEnd/>
                          <a:tailEnd/>
                        </a:ln>
                      </wps:spPr>
                      <wps:txbx>
                        <w:txbxContent>
                          <w:p w14:paraId="53A6D8EE" w14:textId="77777777" w:rsidR="00F80ADB" w:rsidRPr="006668D8" w:rsidRDefault="00F80ADB" w:rsidP="00F80ADB">
                            <w:pPr>
                              <w:pStyle w:val="NormalWeb"/>
                              <w:spacing w:before="0" w:beforeAutospacing="0" w:after="180" w:afterAutospacing="0"/>
                              <w:rPr>
                                <w:sz w:val="20"/>
                                <w:szCs w:val="20"/>
                                <w:lang w:val="en-GB"/>
                              </w:rPr>
                            </w:pPr>
                            <w:r w:rsidRPr="006668D8">
                              <w:rPr>
                                <w:b/>
                                <w:bCs/>
                                <w:sz w:val="20"/>
                                <w:szCs w:val="20"/>
                                <w:u w:val="single"/>
                                <w:lang w:val="en-GB"/>
                              </w:rPr>
                              <w:t>Issue 1-8: Test case(s) for group-based beam reporting</w:t>
                            </w:r>
                          </w:p>
                          <w:p w14:paraId="42DD0C69" w14:textId="77777777" w:rsidR="00F80ADB" w:rsidRPr="00144534" w:rsidRDefault="00F80ADB" w:rsidP="00F80ADB">
                            <w:pPr>
                              <w:numPr>
                                <w:ilvl w:val="0"/>
                                <w:numId w:val="43"/>
                              </w:numPr>
                              <w:spacing w:after="120" w:line="240" w:lineRule="auto"/>
                              <w:textAlignment w:val="center"/>
                              <w:rPr>
                                <w:rFonts w:ascii="Calibri" w:eastAsia="Times New Roman" w:hAnsi="Calibri" w:cs="Calibri"/>
                                <w:sz w:val="22"/>
                                <w:lang w:val="en-GB"/>
                              </w:rPr>
                            </w:pPr>
                            <w:r w:rsidRPr="006668D8">
                              <w:rPr>
                                <w:rFonts w:eastAsia="Times New Roman" w:cs="Times New Roman"/>
                                <w:szCs w:val="20"/>
                                <w:lang w:val="en-GB"/>
                              </w:rPr>
                              <w:t xml:space="preserve">    </w:t>
                            </w:r>
                            <w:r w:rsidRPr="00144534">
                              <w:rPr>
                                <w:rFonts w:eastAsia="Times New Roman" w:cs="Times New Roman"/>
                                <w:szCs w:val="20"/>
                                <w:lang w:val="en-GB"/>
                              </w:rPr>
                              <w:t>Companies are encouraged to bring analysis on test case(s) for group-based beam reporting.</w:t>
                            </w:r>
                          </w:p>
                          <w:p w14:paraId="3531EBD7" w14:textId="77777777" w:rsidR="00F80ADB" w:rsidRDefault="00F80ADB" w:rsidP="00F80AD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021C90" id="Text Box 1554966830" o:spid="_x0000_s1027" type="#_x0000_t202" style="position:absolute;left:0;text-align:left;margin-left:31.3pt;margin-top:6.75pt;width:445.05pt;height:51.5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">
                <v:textbox>
                  <w:txbxContent>
                    <w:p w14:paraId="53A6D8EE" w14:textId="77777777" w:rsidR="00F80ADB" w:rsidRPr="006668D8" w:rsidRDefault="00F80ADB" w:rsidP="00F80ADB">
                      <w:pPr>
                        <w:pStyle w:val="NormalWeb"/>
                        <w:spacing w:before="0" w:beforeAutospacing="0" w:after="180" w:afterAutospacing="0"/>
                        <w:rPr>
                          <w:sz w:val="20"/>
                          <w:szCs w:val="20"/>
                          <w:lang w:val="en-GB"/>
                        </w:rPr>
                      </w:pPr>
                      <w:r w:rsidRPr="006668D8">
                        <w:rPr>
                          <w:b/>
                          <w:bCs/>
                          <w:sz w:val="20"/>
                          <w:szCs w:val="20"/>
                          <w:u w:val="single"/>
                          <w:lang w:val="en-GB"/>
                        </w:rPr>
                        <w:t>Issue 1-8: Test case(s) for group-based beam reporting</w:t>
                      </w:r>
                    </w:p>
                    <w:p w14:paraId="42DD0C69" w14:textId="77777777" w:rsidR="00F80ADB" w:rsidRPr="00144534" w:rsidRDefault="00F80ADB" w:rsidP="00F80ADB">
                      <w:pPr>
                        <w:numPr>
                          <w:ilvl w:val="0"/>
                          <w:numId w:val="43"/>
                        </w:numPr>
                        <w:spacing w:after="120" w:line="240" w:lineRule="auto"/>
                        <w:textAlignment w:val="center"/>
                        <w:rPr>
                          <w:rFonts w:ascii="Calibri" w:eastAsia="Times New Roman" w:hAnsi="Calibri" w:cs="Calibri"/>
                          <w:sz w:val="22"/>
                          <w:lang w:val="en-GB"/>
                        </w:rPr>
                      </w:pPr>
                      <w:r w:rsidRPr="006668D8">
                        <w:rPr>
                          <w:rFonts w:eastAsia="Times New Roman" w:cs="Times New Roman"/>
                          <w:szCs w:val="20"/>
                          <w:lang w:val="en-GB"/>
                        </w:rPr>
                        <w:t xml:space="preserve">    </w:t>
                      </w:r>
                      <w:r w:rsidRPr="00144534">
                        <w:rPr>
                          <w:rFonts w:eastAsia="Times New Roman" w:cs="Times New Roman"/>
                          <w:szCs w:val="20"/>
                          <w:lang w:val="en-GB"/>
                        </w:rPr>
                        <w:t>Companies are encouraged to bring analysis on test case(s) for group-based beam reporting.</w:t>
                      </w:r>
                    </w:p>
                    <w:p w14:paraId="3531EBD7" w14:textId="77777777" w:rsidR="00F80ADB" w:rsidRDefault="00F80ADB" w:rsidP="00F80ADB"/>
                  </w:txbxContent>
                </v:textbox>
                <w10:wrap type="square"/>
              </v:shape>
            </w:pict>
          </mc:Fallback>
        </mc:AlternateContent>
      </w:r>
    </w:p>
    <w:p w14:paraId="55A380BF" w14:textId="77777777" w:rsidR="00D52B7F" w:rsidRDefault="00D52B7F" w:rsidP="00D52B7F">
      <w:pPr>
        <w:ind w:left="360"/>
        <w:rPr>
          <w:lang w:val="en-GB"/>
        </w:rPr>
      </w:pPr>
    </w:p>
    <w:p w14:paraId="1699B99D" w14:textId="77777777" w:rsidR="00D52B7F" w:rsidRDefault="00D52B7F" w:rsidP="00D52B7F">
      <w:pPr>
        <w:ind w:left="360"/>
        <w:rPr>
          <w:lang w:val="en-GB"/>
        </w:rPr>
      </w:pPr>
    </w:p>
    <w:p w14:paraId="1AF348DA" w14:textId="77777777" w:rsidR="00D52B7F" w:rsidRDefault="00D52B7F" w:rsidP="00D52B7F">
      <w:pPr>
        <w:ind w:left="360"/>
        <w:rPr>
          <w:lang w:val="en-GB"/>
        </w:rPr>
      </w:pPr>
    </w:p>
    <w:p w14:paraId="197624E6" w14:textId="77777777" w:rsidR="00F80ADB" w:rsidRPr="00144534" w:rsidRDefault="00F80ADB" w:rsidP="00D52B7F">
      <w:pPr>
        <w:ind w:left="360"/>
        <w:rPr>
          <w:lang w:val="en-GB"/>
        </w:rPr>
      </w:pPr>
      <w:r w:rsidRPr="00144534">
        <w:rPr>
          <w:lang w:val="en-GB"/>
        </w:rPr>
        <w:t>RRM requirements for multi-Rx have been defined with group-based beam reporting being a pre-requisite. This would then imply that the ability of a UE to accurately report a pair of beams that it can receive simultaneously needs to be first tested before proceeding to other tests</w:t>
      </w:r>
      <w:r>
        <w:rPr>
          <w:lang w:val="en-GB"/>
        </w:rPr>
        <w:t>.</w:t>
      </w:r>
    </w:p>
    <w:p w14:paraId="6472452C" w14:textId="77777777" w:rsidR="00F80ADB" w:rsidRPr="00144534" w:rsidRDefault="00F80ADB" w:rsidP="00D52B7F">
      <w:pPr>
        <w:ind w:left="360"/>
        <w:rPr>
          <w:lang w:val="en-GB"/>
        </w:rPr>
      </w:pPr>
      <w:r w:rsidRPr="00144534">
        <w:rPr>
          <w:lang w:val="en-GB"/>
        </w:rPr>
        <w:t>In case of a TCI state switch from dual to dual</w:t>
      </w:r>
      <w:r>
        <w:rPr>
          <w:lang w:val="en-GB"/>
        </w:rPr>
        <w:t xml:space="preserve"> TCI states</w:t>
      </w:r>
      <w:r w:rsidRPr="00144534">
        <w:rPr>
          <w:lang w:val="en-GB"/>
        </w:rPr>
        <w:t xml:space="preserve">, the test environment needs to be such that the UE can report two beam pairs that it can receive simultaneously in a group-based beam report. For a 4-probe setup, this means that two of the four probes would be configured with a set of reference signals representing one TRP and the other two with a set of reference signals representing the other TRP. In the example of </w:t>
      </w:r>
      <w:r w:rsidRPr="00144534">
        <w:rPr>
          <w:lang w:val="en-GB"/>
        </w:rPr>
        <w:fldChar w:fldCharType="begin"/>
      </w:r>
      <w:r w:rsidRPr="00144534">
        <w:rPr>
          <w:lang w:val="en-GB"/>
        </w:rPr>
        <w:instrText xml:space="preserve"> REF _Ref149573567 \h </w:instrText>
      </w:r>
      <w:r w:rsidRPr="00144534">
        <w:rPr>
          <w:lang w:val="en-GB"/>
        </w:rPr>
      </w:r>
      <w:r w:rsidRPr="00144534">
        <w:rPr>
          <w:lang w:val="en-GB"/>
        </w:rPr>
        <w:fldChar w:fldCharType="separate"/>
      </w:r>
      <w:r w:rsidRPr="00144534">
        <w:t xml:space="preserve">Figure </w:t>
      </w:r>
      <w:r w:rsidRPr="00144534">
        <w:rPr>
          <w:noProof/>
        </w:rPr>
        <w:t>1</w:t>
      </w:r>
      <w:r w:rsidRPr="00144534">
        <w:rPr>
          <w:lang w:val="en-GB"/>
        </w:rPr>
        <w:fldChar w:fldCharType="end"/>
      </w:r>
      <w:r w:rsidRPr="00144534">
        <w:rPr>
          <w:lang w:val="en-GB"/>
        </w:rPr>
        <w:t>, probes 1 and 2 (P1 and P2) on the left would be representing TRP1 and probes 3 and 4 (P3 and P4) on the right would be representing TRP2.</w:t>
      </w:r>
    </w:p>
    <w:p w14:paraId="5D7AF87C" w14:textId="77777777" w:rsidR="00F80ADB" w:rsidRPr="00144534" w:rsidRDefault="00F80ADB" w:rsidP="00D52B7F">
      <w:pPr>
        <w:ind w:left="360"/>
        <w:rPr>
          <w:lang w:val="en-GB"/>
        </w:rPr>
      </w:pPr>
      <w:r w:rsidRPr="00144534">
        <w:rPr>
          <w:lang w:val="en-GB"/>
        </w:rPr>
        <w:t xml:space="preserve">In the test setup, the UE has to be able to report two beam pairs where the RS for each beam is from each of the two resource groups. Passing this test can be considered as a prerequisite for the dual to dual TCI state switch test case. In the example of  </w:t>
      </w:r>
      <w:r w:rsidRPr="00144534">
        <w:rPr>
          <w:lang w:val="en-GB"/>
        </w:rPr>
        <w:fldChar w:fldCharType="begin"/>
      </w:r>
      <w:r w:rsidRPr="00144534">
        <w:rPr>
          <w:lang w:val="en-GB"/>
        </w:rPr>
        <w:instrText xml:space="preserve"> REF _Ref149573567 \h </w:instrText>
      </w:r>
      <w:r w:rsidRPr="00144534">
        <w:rPr>
          <w:lang w:val="en-GB"/>
        </w:rPr>
      </w:r>
      <w:r w:rsidRPr="00144534">
        <w:rPr>
          <w:lang w:val="en-GB"/>
        </w:rPr>
        <w:fldChar w:fldCharType="separate"/>
      </w:r>
      <w:r w:rsidRPr="00144534">
        <w:t xml:space="preserve">Figure </w:t>
      </w:r>
      <w:r w:rsidRPr="00144534">
        <w:rPr>
          <w:noProof/>
        </w:rPr>
        <w:t>1</w:t>
      </w:r>
      <w:r w:rsidRPr="00144534">
        <w:rPr>
          <w:lang w:val="en-GB"/>
        </w:rPr>
        <w:fldChar w:fldCharType="end"/>
      </w:r>
      <w:r w:rsidRPr="00144534">
        <w:rPr>
          <w:lang w:val="en-GB"/>
        </w:rPr>
        <w:t>, the UE would need to report the source RS of TCI’0’ and TCI’1’ as the first beam pair and the source RS of TCI’2’ and TCI’3’ as the second beam pair.</w:t>
      </w:r>
    </w:p>
    <w:p w14:paraId="519B9DD0" w14:textId="77777777" w:rsidR="00F80ADB" w:rsidRPr="00144534" w:rsidRDefault="00F80ADB" w:rsidP="00D52B7F">
      <w:pPr>
        <w:pStyle w:val="RAN4proposal"/>
        <w:ind w:left="360"/>
      </w:pPr>
      <w:bookmarkStart w:id="4" w:name="_Toc159231753"/>
      <w:r w:rsidRPr="00144534">
        <w:t>Define a test case for group-based beam reporting using 4 probes, where the UE has to report two beam pairs from two different RS sets.</w:t>
      </w:r>
      <w:bookmarkEnd w:id="4"/>
    </w:p>
    <w:p w14:paraId="12BEBB67" w14:textId="77777777" w:rsidR="00CC3468" w:rsidRPr="00CC3468" w:rsidRDefault="00CC3468" w:rsidP="006668D8">
      <w:pPr>
        <w:rPr>
          <w:lang w:val="en-GB"/>
        </w:rPr>
      </w:pPr>
    </w:p>
    <w:p w14:paraId="5B751645" w14:textId="3C171553" w:rsidR="00E52EA8" w:rsidRDefault="00F55A26" w:rsidP="00E52EA8">
      <w:pPr>
        <w:pStyle w:val="RAN4H2"/>
        <w:rPr>
          <w:lang w:val="en-GB"/>
        </w:rPr>
      </w:pPr>
      <w:r w:rsidRPr="00E52EA8">
        <w:rPr>
          <w:noProof/>
          <w:lang w:val="en-GB"/>
        </w:rPr>
        <w:lastRenderedPageBreak/>
        <mc:AlternateContent>
          <mc:Choice Requires="wps">
            <w:drawing>
              <wp:anchor distT="45720" distB="45720" distL="114300" distR="114300" simplePos="0" relativeHeight="251658240" behindDoc="0" locked="0" layoutInCell="1" allowOverlap="1" wp14:anchorId="23F47A57" wp14:editId="1CD07716">
                <wp:simplePos x="0" y="0"/>
                <wp:positionH relativeFrom="column">
                  <wp:posOffset>539750</wp:posOffset>
                </wp:positionH>
                <wp:positionV relativeFrom="paragraph">
                  <wp:posOffset>603250</wp:posOffset>
                </wp:positionV>
                <wp:extent cx="5873750" cy="2084705"/>
                <wp:effectExtent l="0" t="0" r="12700" b="10795"/>
                <wp:wrapSquare wrapText="bothSides"/>
                <wp:docPr id="1064384881" name="Text Box 10643848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0" cy="2084705"/>
                        </a:xfrm>
                        <a:prstGeom prst="rect">
                          <a:avLst/>
                        </a:prstGeom>
                        <a:solidFill>
                          <a:srgbClr val="FFFFFF"/>
                        </a:solidFill>
                        <a:ln w="9525">
                          <a:solidFill>
                            <a:srgbClr val="000000"/>
                          </a:solidFill>
                          <a:miter lim="800000"/>
                          <a:headEnd/>
                          <a:tailEnd/>
                        </a:ln>
                      </wps:spPr>
                      <wps:txbx>
                        <w:txbxContent>
                          <w:p w14:paraId="53F8990C" w14:textId="77777777" w:rsidR="00E52EA8" w:rsidRPr="00E52EA8" w:rsidRDefault="00E52EA8" w:rsidP="006668D8">
                            <w:pPr>
                              <w:spacing w:after="180" w:line="240" w:lineRule="auto"/>
                              <w:rPr>
                                <w:rFonts w:eastAsia="Times New Roman" w:cs="Times New Roman"/>
                                <w:color w:val="000000"/>
                                <w:szCs w:val="20"/>
                                <w:lang w:val="en-GB"/>
                              </w:rPr>
                            </w:pPr>
                            <w:r w:rsidRPr="00E52EA8">
                              <w:rPr>
                                <w:rFonts w:eastAsia="Times New Roman" w:cs="Times New Roman"/>
                                <w:b/>
                                <w:bCs/>
                                <w:color w:val="000000"/>
                                <w:szCs w:val="20"/>
                                <w:u w:val="single"/>
                                <w:lang w:val="en-GB"/>
                              </w:rPr>
                              <w:t>Issue 1-4: Test case(s) for fast beam sweeping</w:t>
                            </w:r>
                          </w:p>
                          <w:p w14:paraId="0314561B" w14:textId="77777777" w:rsidR="00E52EA8" w:rsidRPr="00E52EA8" w:rsidRDefault="00E52EA8" w:rsidP="006668D8">
                            <w:pPr>
                              <w:numPr>
                                <w:ilvl w:val="0"/>
                                <w:numId w:val="39"/>
                              </w:numPr>
                              <w:tabs>
                                <w:tab w:val="clear" w:pos="720"/>
                                <w:tab w:val="num" w:pos="180"/>
                              </w:tabs>
                              <w:spacing w:after="120" w:line="240" w:lineRule="auto"/>
                              <w:ind w:left="180"/>
                              <w:textAlignment w:val="center"/>
                              <w:rPr>
                                <w:rFonts w:ascii="Calibri" w:eastAsia="Times New Roman" w:hAnsi="Calibri" w:cs="Calibri"/>
                                <w:sz w:val="22"/>
                                <w:lang w:val="en-GB"/>
                              </w:rPr>
                            </w:pPr>
                            <w:r w:rsidRPr="00E52EA8">
                              <w:rPr>
                                <w:rFonts w:eastAsia="Times New Roman" w:cs="Times New Roman"/>
                                <w:color w:val="000000"/>
                                <w:szCs w:val="20"/>
                                <w:lang w:val="en-GB"/>
                              </w:rPr>
                              <w:t>Companies are encouraged to bring analysis on test case(s) for fast beam sweeping</w:t>
                            </w:r>
                          </w:p>
                          <w:p w14:paraId="3E37EDC6" w14:textId="77777777" w:rsidR="00E52EA8" w:rsidRPr="00E52EA8" w:rsidRDefault="00E52EA8" w:rsidP="006668D8">
                            <w:pPr>
                              <w:spacing w:after="120" w:line="240" w:lineRule="auto"/>
                              <w:rPr>
                                <w:rFonts w:eastAsia="Times New Roman" w:cs="Times New Roman"/>
                                <w:color w:val="0070C0"/>
                                <w:szCs w:val="20"/>
                                <w:lang w:val="en-GB"/>
                              </w:rPr>
                            </w:pPr>
                            <w:r w:rsidRPr="00E52EA8">
                              <w:rPr>
                                <w:rFonts w:eastAsia="Times New Roman" w:cs="Times New Roman"/>
                                <w:b/>
                                <w:bCs/>
                                <w:color w:val="0070C0"/>
                                <w:szCs w:val="20"/>
                                <w:lang w:val="en-GB"/>
                              </w:rPr>
                              <w:t> </w:t>
                            </w:r>
                          </w:p>
                          <w:p w14:paraId="02A9A5F8" w14:textId="77777777" w:rsidR="00E52EA8" w:rsidRPr="00E52EA8" w:rsidRDefault="00E52EA8" w:rsidP="006668D8">
                            <w:pPr>
                              <w:spacing w:after="180" w:line="240" w:lineRule="auto"/>
                              <w:rPr>
                                <w:rFonts w:eastAsia="Times New Roman" w:cs="Times New Roman"/>
                                <w:color w:val="000000"/>
                                <w:szCs w:val="20"/>
                                <w:lang w:val="en-GB"/>
                              </w:rPr>
                            </w:pPr>
                            <w:r w:rsidRPr="00E52EA8">
                              <w:rPr>
                                <w:rFonts w:eastAsia="Times New Roman" w:cs="Times New Roman"/>
                                <w:b/>
                                <w:bCs/>
                                <w:color w:val="000000"/>
                                <w:szCs w:val="20"/>
                                <w:u w:val="single"/>
                                <w:lang w:val="en-GB"/>
                              </w:rPr>
                              <w:t>Issue 1-5: Test case(s) for scheduling restriction</w:t>
                            </w:r>
                          </w:p>
                          <w:p w14:paraId="4150C7D4" w14:textId="77777777" w:rsidR="00E52EA8" w:rsidRPr="00E52EA8" w:rsidRDefault="00E52EA8" w:rsidP="006668D8">
                            <w:pPr>
                              <w:numPr>
                                <w:ilvl w:val="0"/>
                                <w:numId w:val="40"/>
                              </w:numPr>
                              <w:tabs>
                                <w:tab w:val="clear" w:pos="720"/>
                                <w:tab w:val="num" w:pos="180"/>
                              </w:tabs>
                              <w:spacing w:after="120" w:line="240" w:lineRule="auto"/>
                              <w:ind w:left="180"/>
                              <w:textAlignment w:val="center"/>
                              <w:rPr>
                                <w:rFonts w:ascii="Calibri" w:eastAsia="Times New Roman" w:hAnsi="Calibri" w:cs="Calibri"/>
                                <w:sz w:val="22"/>
                                <w:lang w:val="en-GB"/>
                              </w:rPr>
                            </w:pPr>
                            <w:r w:rsidRPr="00E52EA8">
                              <w:rPr>
                                <w:rFonts w:eastAsia="Times New Roman" w:cs="Times New Roman"/>
                                <w:color w:val="000000"/>
                                <w:szCs w:val="20"/>
                                <w:lang w:val="en-GB"/>
                              </w:rPr>
                              <w:t>Companies are encouraged to bring analysis on test case(s) for scheduling restriction</w:t>
                            </w:r>
                          </w:p>
                          <w:p w14:paraId="530ED45A" w14:textId="77777777" w:rsidR="00E52EA8" w:rsidRPr="00E52EA8" w:rsidRDefault="00E52EA8" w:rsidP="006668D8">
                            <w:pPr>
                              <w:spacing w:after="120" w:line="240" w:lineRule="auto"/>
                              <w:rPr>
                                <w:rFonts w:eastAsia="Times New Roman" w:cs="Times New Roman"/>
                                <w:color w:val="0070C0"/>
                                <w:szCs w:val="20"/>
                                <w:lang w:val="en-GB"/>
                              </w:rPr>
                            </w:pPr>
                            <w:r w:rsidRPr="00E52EA8">
                              <w:rPr>
                                <w:rFonts w:eastAsia="Times New Roman" w:cs="Times New Roman"/>
                                <w:b/>
                                <w:bCs/>
                                <w:color w:val="0070C0"/>
                                <w:szCs w:val="20"/>
                                <w:lang w:val="en-GB"/>
                              </w:rPr>
                              <w:t> </w:t>
                            </w:r>
                          </w:p>
                          <w:p w14:paraId="7AF56459" w14:textId="77777777" w:rsidR="00E52EA8" w:rsidRPr="00E52EA8" w:rsidRDefault="00E52EA8" w:rsidP="006668D8">
                            <w:pPr>
                              <w:spacing w:after="180" w:line="240" w:lineRule="auto"/>
                              <w:rPr>
                                <w:rFonts w:eastAsia="Times New Roman" w:cs="Times New Roman"/>
                                <w:color w:val="000000"/>
                                <w:szCs w:val="20"/>
                                <w:lang w:val="en-GB"/>
                              </w:rPr>
                            </w:pPr>
                            <w:r w:rsidRPr="00E52EA8">
                              <w:rPr>
                                <w:rFonts w:eastAsia="Times New Roman" w:cs="Times New Roman"/>
                                <w:b/>
                                <w:bCs/>
                                <w:color w:val="000000"/>
                                <w:szCs w:val="20"/>
                                <w:u w:val="single"/>
                                <w:lang w:val="en-GB"/>
                              </w:rPr>
                              <w:t>Issue 1-6: Test case(s) for measurement restriction</w:t>
                            </w:r>
                          </w:p>
                          <w:p w14:paraId="33179A80" w14:textId="77777777" w:rsidR="00E52EA8" w:rsidRPr="00E52EA8" w:rsidRDefault="00E52EA8" w:rsidP="006668D8">
                            <w:pPr>
                              <w:numPr>
                                <w:ilvl w:val="0"/>
                                <w:numId w:val="41"/>
                              </w:numPr>
                              <w:tabs>
                                <w:tab w:val="clear" w:pos="720"/>
                                <w:tab w:val="num" w:pos="180"/>
                              </w:tabs>
                              <w:spacing w:after="120" w:line="240" w:lineRule="auto"/>
                              <w:ind w:left="180"/>
                              <w:textAlignment w:val="center"/>
                              <w:rPr>
                                <w:rFonts w:ascii="Calibri" w:eastAsia="Times New Roman" w:hAnsi="Calibri" w:cs="Calibri"/>
                                <w:sz w:val="22"/>
                                <w:lang w:val="en-GB"/>
                              </w:rPr>
                            </w:pPr>
                            <w:r w:rsidRPr="00E52EA8">
                              <w:rPr>
                                <w:rFonts w:eastAsia="Times New Roman" w:cs="Times New Roman"/>
                                <w:color w:val="000000"/>
                                <w:szCs w:val="20"/>
                                <w:lang w:val="en-GB"/>
                              </w:rPr>
                              <w:t>Companies are encouraged to bring analysis on test case(s) for measurement restriction</w:t>
                            </w:r>
                          </w:p>
                          <w:p w14:paraId="4F5CDA07" w14:textId="010A0E68" w:rsidR="00E52EA8" w:rsidRDefault="00E52EA8" w:rsidP="00E52EA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F47A57" id="Text Box 1064384881" o:spid="_x0000_s1028" type="#_x0000_t202" style="position:absolute;left:0;text-align:left;margin-left:42.5pt;margin-top:47.5pt;width:462.5pt;height:164.1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">
                <v:textbox>
                  <w:txbxContent>
                    <w:p w14:paraId="53F8990C" w14:textId="77777777" w:rsidR="00E52EA8" w:rsidRPr="00E52EA8" w:rsidRDefault="00E52EA8" w:rsidP="006668D8">
                      <w:pPr>
                        <w:spacing w:after="180" w:line="240" w:lineRule="auto"/>
                        <w:rPr>
                          <w:rFonts w:eastAsia="Times New Roman" w:cs="Times New Roman"/>
                          <w:color w:val="000000"/>
                          <w:szCs w:val="20"/>
                          <w:lang w:val="en-GB"/>
                        </w:rPr>
                      </w:pPr>
                      <w:r w:rsidRPr="00E52EA8">
                        <w:rPr>
                          <w:rFonts w:eastAsia="Times New Roman" w:cs="Times New Roman"/>
                          <w:b/>
                          <w:bCs/>
                          <w:color w:val="000000"/>
                          <w:szCs w:val="20"/>
                          <w:u w:val="single"/>
                          <w:lang w:val="en-GB"/>
                        </w:rPr>
                        <w:t>Issue 1-4: Test case(s) for fast beam sweeping</w:t>
                      </w:r>
                    </w:p>
                    <w:p w14:paraId="0314561B" w14:textId="77777777" w:rsidR="00E52EA8" w:rsidRPr="00E52EA8" w:rsidRDefault="00E52EA8" w:rsidP="006668D8">
                      <w:pPr>
                        <w:numPr>
                          <w:ilvl w:val="0"/>
                          <w:numId w:val="39"/>
                        </w:numPr>
                        <w:tabs>
                          <w:tab w:val="clear" w:pos="720"/>
                          <w:tab w:val="num" w:pos="180"/>
                        </w:tabs>
                        <w:spacing w:after="120" w:line="240" w:lineRule="auto"/>
                        <w:ind w:left="180"/>
                        <w:textAlignment w:val="center"/>
                        <w:rPr>
                          <w:rFonts w:ascii="Calibri" w:eastAsia="Times New Roman" w:hAnsi="Calibri" w:cs="Calibri"/>
                          <w:sz w:val="22"/>
                          <w:lang w:val="en-GB"/>
                        </w:rPr>
                      </w:pPr>
                      <w:r w:rsidRPr="00E52EA8">
                        <w:rPr>
                          <w:rFonts w:eastAsia="Times New Roman" w:cs="Times New Roman"/>
                          <w:color w:val="000000"/>
                          <w:szCs w:val="20"/>
                          <w:lang w:val="en-GB"/>
                        </w:rPr>
                        <w:t>Companies are encouraged to bring analysis on test case(s) for fast beam sweeping</w:t>
                      </w:r>
                    </w:p>
                    <w:p w14:paraId="3E37EDC6" w14:textId="77777777" w:rsidR="00E52EA8" w:rsidRPr="00E52EA8" w:rsidRDefault="00E52EA8" w:rsidP="006668D8">
                      <w:pPr>
                        <w:spacing w:after="120" w:line="240" w:lineRule="auto"/>
                        <w:rPr>
                          <w:rFonts w:eastAsia="Times New Roman" w:cs="Times New Roman"/>
                          <w:color w:val="0070C0"/>
                          <w:szCs w:val="20"/>
                          <w:lang w:val="en-GB"/>
                        </w:rPr>
                      </w:pPr>
                      <w:r w:rsidRPr="00E52EA8">
                        <w:rPr>
                          <w:rFonts w:eastAsia="Times New Roman" w:cs="Times New Roman"/>
                          <w:b/>
                          <w:bCs/>
                          <w:color w:val="0070C0"/>
                          <w:szCs w:val="20"/>
                          <w:lang w:val="en-GB"/>
                        </w:rPr>
                        <w:t> </w:t>
                      </w:r>
                    </w:p>
                    <w:p w14:paraId="02A9A5F8" w14:textId="77777777" w:rsidR="00E52EA8" w:rsidRPr="00E52EA8" w:rsidRDefault="00E52EA8" w:rsidP="006668D8">
                      <w:pPr>
                        <w:spacing w:after="180" w:line="240" w:lineRule="auto"/>
                        <w:rPr>
                          <w:rFonts w:eastAsia="Times New Roman" w:cs="Times New Roman"/>
                          <w:color w:val="000000"/>
                          <w:szCs w:val="20"/>
                          <w:lang w:val="en-GB"/>
                        </w:rPr>
                      </w:pPr>
                      <w:r w:rsidRPr="00E52EA8">
                        <w:rPr>
                          <w:rFonts w:eastAsia="Times New Roman" w:cs="Times New Roman"/>
                          <w:b/>
                          <w:bCs/>
                          <w:color w:val="000000"/>
                          <w:szCs w:val="20"/>
                          <w:u w:val="single"/>
                          <w:lang w:val="en-GB"/>
                        </w:rPr>
                        <w:t>Issue 1-5: Test case(s) for scheduling restriction</w:t>
                      </w:r>
                    </w:p>
                    <w:p w14:paraId="4150C7D4" w14:textId="77777777" w:rsidR="00E52EA8" w:rsidRPr="00E52EA8" w:rsidRDefault="00E52EA8" w:rsidP="006668D8">
                      <w:pPr>
                        <w:numPr>
                          <w:ilvl w:val="0"/>
                          <w:numId w:val="40"/>
                        </w:numPr>
                        <w:tabs>
                          <w:tab w:val="clear" w:pos="720"/>
                          <w:tab w:val="num" w:pos="180"/>
                        </w:tabs>
                        <w:spacing w:after="120" w:line="240" w:lineRule="auto"/>
                        <w:ind w:left="180"/>
                        <w:textAlignment w:val="center"/>
                        <w:rPr>
                          <w:rFonts w:ascii="Calibri" w:eastAsia="Times New Roman" w:hAnsi="Calibri" w:cs="Calibri"/>
                          <w:sz w:val="22"/>
                          <w:lang w:val="en-GB"/>
                        </w:rPr>
                      </w:pPr>
                      <w:r w:rsidRPr="00E52EA8">
                        <w:rPr>
                          <w:rFonts w:eastAsia="Times New Roman" w:cs="Times New Roman"/>
                          <w:color w:val="000000"/>
                          <w:szCs w:val="20"/>
                          <w:lang w:val="en-GB"/>
                        </w:rPr>
                        <w:t>Companies are encouraged to bring analysis on test case(s) for scheduling restriction</w:t>
                      </w:r>
                    </w:p>
                    <w:p w14:paraId="530ED45A" w14:textId="77777777" w:rsidR="00E52EA8" w:rsidRPr="00E52EA8" w:rsidRDefault="00E52EA8" w:rsidP="006668D8">
                      <w:pPr>
                        <w:spacing w:after="120" w:line="240" w:lineRule="auto"/>
                        <w:rPr>
                          <w:rFonts w:eastAsia="Times New Roman" w:cs="Times New Roman"/>
                          <w:color w:val="0070C0"/>
                          <w:szCs w:val="20"/>
                          <w:lang w:val="en-GB"/>
                        </w:rPr>
                      </w:pPr>
                      <w:r w:rsidRPr="00E52EA8">
                        <w:rPr>
                          <w:rFonts w:eastAsia="Times New Roman" w:cs="Times New Roman"/>
                          <w:b/>
                          <w:bCs/>
                          <w:color w:val="0070C0"/>
                          <w:szCs w:val="20"/>
                          <w:lang w:val="en-GB"/>
                        </w:rPr>
                        <w:t> </w:t>
                      </w:r>
                    </w:p>
                    <w:p w14:paraId="7AF56459" w14:textId="77777777" w:rsidR="00E52EA8" w:rsidRPr="00E52EA8" w:rsidRDefault="00E52EA8" w:rsidP="006668D8">
                      <w:pPr>
                        <w:spacing w:after="180" w:line="240" w:lineRule="auto"/>
                        <w:rPr>
                          <w:rFonts w:eastAsia="Times New Roman" w:cs="Times New Roman"/>
                          <w:color w:val="000000"/>
                          <w:szCs w:val="20"/>
                          <w:lang w:val="en-GB"/>
                        </w:rPr>
                      </w:pPr>
                      <w:r w:rsidRPr="00E52EA8">
                        <w:rPr>
                          <w:rFonts w:eastAsia="Times New Roman" w:cs="Times New Roman"/>
                          <w:b/>
                          <w:bCs/>
                          <w:color w:val="000000"/>
                          <w:szCs w:val="20"/>
                          <w:u w:val="single"/>
                          <w:lang w:val="en-GB"/>
                        </w:rPr>
                        <w:t>Issue 1-6: Test case(s) for measurement restriction</w:t>
                      </w:r>
                    </w:p>
                    <w:p w14:paraId="33179A80" w14:textId="77777777" w:rsidR="00E52EA8" w:rsidRPr="00E52EA8" w:rsidRDefault="00E52EA8" w:rsidP="006668D8">
                      <w:pPr>
                        <w:numPr>
                          <w:ilvl w:val="0"/>
                          <w:numId w:val="41"/>
                        </w:numPr>
                        <w:tabs>
                          <w:tab w:val="clear" w:pos="720"/>
                          <w:tab w:val="num" w:pos="180"/>
                        </w:tabs>
                        <w:spacing w:after="120" w:line="240" w:lineRule="auto"/>
                        <w:ind w:left="180"/>
                        <w:textAlignment w:val="center"/>
                        <w:rPr>
                          <w:rFonts w:ascii="Calibri" w:eastAsia="Times New Roman" w:hAnsi="Calibri" w:cs="Calibri"/>
                          <w:sz w:val="22"/>
                          <w:lang w:val="en-GB"/>
                        </w:rPr>
                      </w:pPr>
                      <w:r w:rsidRPr="00E52EA8">
                        <w:rPr>
                          <w:rFonts w:eastAsia="Times New Roman" w:cs="Times New Roman"/>
                          <w:color w:val="000000"/>
                          <w:szCs w:val="20"/>
                          <w:lang w:val="en-GB"/>
                        </w:rPr>
                        <w:t>Companies are encouraged to bring analysis on test case(s) for measurement restriction</w:t>
                      </w:r>
                    </w:p>
                    <w:p w14:paraId="4F5CDA07" w14:textId="010A0E68" w:rsidR="00E52EA8" w:rsidRDefault="00E52EA8" w:rsidP="00E52EA8"/>
                  </w:txbxContent>
                </v:textbox>
                <w10:wrap type="square"/>
              </v:shape>
            </w:pict>
          </mc:Fallback>
        </mc:AlternateContent>
      </w:r>
      <w:r w:rsidR="00E52EA8">
        <w:rPr>
          <w:lang w:val="en-GB"/>
        </w:rPr>
        <w:t xml:space="preserve">Testing the beam sweeping </w:t>
      </w:r>
      <w:r w:rsidR="00E52EA8" w:rsidDel="0049691F">
        <w:rPr>
          <w:lang w:val="en-GB"/>
        </w:rPr>
        <w:t>factor reduction</w:t>
      </w:r>
      <w:r w:rsidR="0049691F">
        <w:rPr>
          <w:lang w:val="en-GB"/>
        </w:rPr>
        <w:t>, scheduling and measurement restrictions</w:t>
      </w:r>
    </w:p>
    <w:p w14:paraId="2732EA02" w14:textId="0B632005" w:rsidR="00E52EA8" w:rsidRDefault="00E52EA8" w:rsidP="00331B1F">
      <w:pPr>
        <w:ind w:left="720"/>
        <w:rPr>
          <w:lang w:val="en-GB"/>
        </w:rPr>
      </w:pPr>
    </w:p>
    <w:p w14:paraId="58139304" w14:textId="5CE39BAA" w:rsidR="006D3FD7" w:rsidRDefault="000F2E3A" w:rsidP="00D52B7F">
      <w:pPr>
        <w:rPr>
          <w:lang w:val="en-GB"/>
        </w:rPr>
      </w:pPr>
      <w:r>
        <w:rPr>
          <w:lang w:val="en-GB"/>
        </w:rPr>
        <w:t xml:space="preserve">Since beam sweeping factor reduction has been introduced for SSB based L1-RSRP </w:t>
      </w:r>
      <w:r w:rsidR="003A6CF5">
        <w:rPr>
          <w:lang w:val="en-GB"/>
        </w:rPr>
        <w:t xml:space="preserve">measurement related </w:t>
      </w:r>
      <w:r>
        <w:rPr>
          <w:lang w:val="en-GB"/>
        </w:rPr>
        <w:t xml:space="preserve">requirements, we propose to define </w:t>
      </w:r>
      <w:r w:rsidR="003A6CF5">
        <w:rPr>
          <w:lang w:val="en-GB"/>
        </w:rPr>
        <w:t xml:space="preserve">test cases </w:t>
      </w:r>
      <w:r>
        <w:rPr>
          <w:lang w:val="en-GB"/>
        </w:rPr>
        <w:t>to verify this enhancement</w:t>
      </w:r>
      <w:r w:rsidR="003A6CF5">
        <w:rPr>
          <w:lang w:val="en-GB"/>
        </w:rPr>
        <w:t xml:space="preserve"> for each measurement type: L1-RSRP, L1-SINR, RLM, BFD and CBD</w:t>
      </w:r>
      <w:r>
        <w:rPr>
          <w:lang w:val="en-GB"/>
        </w:rPr>
        <w:t xml:space="preserve">. </w:t>
      </w:r>
      <w:r w:rsidR="003A6CF5" w:rsidRPr="00AE2AAA">
        <w:rPr>
          <w:szCs w:val="20"/>
        </w:rPr>
        <w:t>Furthermore, for TRP-specific BFD, P</w:t>
      </w:r>
      <w:r w:rsidR="003A6CF5" w:rsidRPr="00AE2AAA">
        <w:rPr>
          <w:szCs w:val="20"/>
          <w:vertAlign w:val="subscript"/>
        </w:rPr>
        <w:t>TRP</w:t>
      </w:r>
      <w:r w:rsidR="003A6CF5" w:rsidRPr="00AE2AAA">
        <w:rPr>
          <w:szCs w:val="20"/>
        </w:rPr>
        <w:t xml:space="preserve"> factor reduction also applies, and this should be included in the corresponding test case.</w:t>
      </w:r>
    </w:p>
    <w:p w14:paraId="4CFFFF3E" w14:textId="77777777" w:rsidR="00E3632E" w:rsidRDefault="00E3632E" w:rsidP="00E22D4E">
      <w:pPr>
        <w:pStyle w:val="RAN4proposal"/>
        <w:ind w:left="567"/>
      </w:pPr>
      <w:bookmarkStart w:id="5" w:name="_Toc159231754"/>
      <w:r w:rsidRPr="0010792E">
        <w:t>For R18 multi-Rx reception, introduce one test case to verify the enhancement of faster beam sweeping on each type of SSB based L1 measurements.</w:t>
      </w:r>
      <w:bookmarkEnd w:id="5"/>
    </w:p>
    <w:p w14:paraId="119F0ADC" w14:textId="2B241AB9" w:rsidR="00B03F57" w:rsidRPr="00B03F57" w:rsidRDefault="00B03F57" w:rsidP="00E22D4E">
      <w:pPr>
        <w:pStyle w:val="RAN4proposal"/>
        <w:ind w:left="567"/>
      </w:pPr>
      <w:bookmarkStart w:id="6" w:name="_Toc159231755"/>
      <w:r>
        <w:t xml:space="preserve">For </w:t>
      </w:r>
      <w:r w:rsidRPr="00001EB9">
        <w:t>TRP</w:t>
      </w:r>
      <w:r>
        <w:t>-</w:t>
      </w:r>
      <w:r w:rsidRPr="00480B76">
        <w:t>specific</w:t>
      </w:r>
      <w:r>
        <w:t xml:space="preserve"> BFD test case, also verify the P</w:t>
      </w:r>
      <w:r w:rsidRPr="00001EB9">
        <w:rPr>
          <w:vertAlign w:val="subscript"/>
        </w:rPr>
        <w:t>TRP</w:t>
      </w:r>
      <w:r>
        <w:t xml:space="preserve"> factor reduction.</w:t>
      </w:r>
      <w:bookmarkEnd w:id="6"/>
    </w:p>
    <w:p w14:paraId="3A028C40" w14:textId="15CF355C" w:rsidR="00B915DB" w:rsidRDefault="00E3632E" w:rsidP="00D52B7F">
      <w:pPr>
        <w:pStyle w:val="pf0"/>
        <w:rPr>
          <w:rFonts w:eastAsiaTheme="minorHAnsi" w:cstheme="minorBidi"/>
          <w:sz w:val="20"/>
          <w:szCs w:val="22"/>
          <w:lang w:val="en-GB"/>
        </w:rPr>
      </w:pPr>
      <w:r w:rsidRPr="00B527B8">
        <w:rPr>
          <w:rFonts w:eastAsiaTheme="minorHAnsi" w:cstheme="minorBidi"/>
          <w:sz w:val="20"/>
          <w:szCs w:val="22"/>
          <w:lang w:val="en-GB"/>
        </w:rPr>
        <w:t xml:space="preserve">Since </w:t>
      </w:r>
      <w:r w:rsidR="00766BA0">
        <w:rPr>
          <w:rFonts w:eastAsiaTheme="minorHAnsi" w:cstheme="minorBidi"/>
          <w:sz w:val="20"/>
          <w:szCs w:val="22"/>
          <w:lang w:val="en-GB"/>
        </w:rPr>
        <w:t xml:space="preserve">scheduling and </w:t>
      </w:r>
      <w:r w:rsidRPr="00B527B8">
        <w:rPr>
          <w:rFonts w:eastAsiaTheme="minorHAnsi" w:cstheme="minorBidi"/>
          <w:sz w:val="20"/>
          <w:szCs w:val="22"/>
          <w:lang w:val="en-GB"/>
        </w:rPr>
        <w:t>measurement restriction relaxations have been introduced while defining RRM requirements for m-Rx, a test case to verify th</w:t>
      </w:r>
      <w:r w:rsidR="00BD71EC">
        <w:rPr>
          <w:rFonts w:eastAsiaTheme="minorHAnsi" w:cstheme="minorBidi"/>
          <w:sz w:val="20"/>
          <w:szCs w:val="22"/>
          <w:lang w:val="en-GB"/>
        </w:rPr>
        <w:t>ese</w:t>
      </w:r>
      <w:r w:rsidRPr="00B527B8">
        <w:rPr>
          <w:rFonts w:eastAsiaTheme="minorHAnsi" w:cstheme="minorBidi"/>
          <w:sz w:val="20"/>
          <w:szCs w:val="22"/>
          <w:lang w:val="en-GB"/>
        </w:rPr>
        <w:t xml:space="preserve"> enhancement</w:t>
      </w:r>
      <w:r w:rsidR="00AF6938">
        <w:rPr>
          <w:rFonts w:eastAsiaTheme="minorHAnsi" w:cstheme="minorBidi"/>
          <w:sz w:val="20"/>
          <w:szCs w:val="22"/>
          <w:lang w:val="en-GB"/>
        </w:rPr>
        <w:t>s</w:t>
      </w:r>
      <w:r w:rsidRPr="00B527B8">
        <w:rPr>
          <w:rFonts w:eastAsiaTheme="minorHAnsi" w:cstheme="minorBidi"/>
          <w:sz w:val="20"/>
          <w:szCs w:val="22"/>
          <w:lang w:val="en-GB"/>
        </w:rPr>
        <w:t xml:space="preserve"> should </w:t>
      </w:r>
      <w:r w:rsidR="00BD71EC">
        <w:rPr>
          <w:rFonts w:eastAsiaTheme="minorHAnsi" w:cstheme="minorBidi"/>
          <w:sz w:val="20"/>
          <w:szCs w:val="22"/>
          <w:lang w:val="en-GB"/>
        </w:rPr>
        <w:t xml:space="preserve">also </w:t>
      </w:r>
      <w:r w:rsidRPr="00B527B8">
        <w:rPr>
          <w:rFonts w:eastAsiaTheme="minorHAnsi" w:cstheme="minorBidi"/>
          <w:sz w:val="20"/>
          <w:szCs w:val="22"/>
          <w:lang w:val="en-GB"/>
        </w:rPr>
        <w:t>be introduced.</w:t>
      </w:r>
      <w:r w:rsidR="00B915DB">
        <w:rPr>
          <w:rFonts w:eastAsiaTheme="minorHAnsi" w:cstheme="minorBidi"/>
          <w:sz w:val="20"/>
          <w:szCs w:val="22"/>
          <w:lang w:val="en-GB"/>
        </w:rPr>
        <w:t xml:space="preserve"> </w:t>
      </w:r>
      <w:r w:rsidR="00B915DB" w:rsidRPr="00AE2AAA">
        <w:rPr>
          <w:rFonts w:eastAsiaTheme="minorHAnsi"/>
          <w:sz w:val="20"/>
          <w:szCs w:val="20"/>
        </w:rPr>
        <w:t xml:space="preserve">We are supportive towards the proposal </w:t>
      </w:r>
      <w:r w:rsidR="00D64B54" w:rsidRPr="00AE2AAA">
        <w:rPr>
          <w:rFonts w:eastAsiaTheme="minorHAnsi"/>
          <w:sz w:val="20"/>
          <w:szCs w:val="20"/>
        </w:rPr>
        <w:t xml:space="preserve">given in the last RAN4 meeting to </w:t>
      </w:r>
      <w:r w:rsidR="00271971" w:rsidRPr="00AE2AAA">
        <w:rPr>
          <w:rFonts w:eastAsiaTheme="minorHAnsi"/>
          <w:sz w:val="20"/>
          <w:szCs w:val="20"/>
        </w:rPr>
        <w:t xml:space="preserve">introduce one test case to verify </w:t>
      </w:r>
      <w:r w:rsidR="00AE0781" w:rsidRPr="00AE2AAA">
        <w:rPr>
          <w:rFonts w:eastAsiaTheme="minorHAnsi"/>
          <w:sz w:val="20"/>
          <w:szCs w:val="20"/>
        </w:rPr>
        <w:t xml:space="preserve">scheduling and measurement requirements for each CSI-RS L1-RSRP based measurement requirement. </w:t>
      </w:r>
    </w:p>
    <w:p w14:paraId="047B78B5" w14:textId="444D8362" w:rsidR="00E3632E" w:rsidRDefault="00B52C99" w:rsidP="00D52B7F">
      <w:pPr>
        <w:pStyle w:val="pf0"/>
        <w:rPr>
          <w:rFonts w:eastAsiaTheme="minorHAnsi" w:cstheme="minorBidi"/>
          <w:sz w:val="20"/>
          <w:szCs w:val="22"/>
          <w:lang w:val="en-GB"/>
        </w:rPr>
      </w:pPr>
      <w:r>
        <w:rPr>
          <w:rFonts w:eastAsiaTheme="minorHAnsi" w:cstheme="minorBidi"/>
          <w:sz w:val="20"/>
          <w:szCs w:val="22"/>
          <w:lang w:val="en-GB"/>
        </w:rPr>
        <w:t xml:space="preserve">For measurement restrictions, we propose </w:t>
      </w:r>
      <w:r w:rsidR="00E3632E" w:rsidRPr="00B527B8">
        <w:rPr>
          <w:rFonts w:eastAsiaTheme="minorHAnsi" w:cstheme="minorBidi"/>
          <w:sz w:val="20"/>
          <w:szCs w:val="22"/>
          <w:lang w:val="en-GB"/>
        </w:rPr>
        <w:t xml:space="preserve">introducing a test case where 2 reference signals (which overlap in time) transmitted from different TRPs are measured by the UE and have been reported via </w:t>
      </w:r>
      <w:r w:rsidR="00E3632E" w:rsidRPr="00E3632E">
        <w:rPr>
          <w:rFonts w:eastAsiaTheme="minorHAnsi" w:cstheme="minorBidi"/>
          <w:sz w:val="20"/>
          <w:szCs w:val="22"/>
          <w:lang w:val="en-GB"/>
        </w:rPr>
        <w:t>group-based</w:t>
      </w:r>
      <w:r w:rsidR="00E3632E" w:rsidRPr="00B527B8">
        <w:rPr>
          <w:rFonts w:eastAsiaTheme="minorHAnsi" w:cstheme="minorBidi"/>
          <w:sz w:val="20"/>
          <w:szCs w:val="22"/>
          <w:lang w:val="en-GB"/>
        </w:rPr>
        <w:t xml:space="preserve"> beam reporting.</w:t>
      </w:r>
    </w:p>
    <w:p w14:paraId="13311237" w14:textId="47155ECB" w:rsidR="00001EB9" w:rsidRPr="00001EB9" w:rsidRDefault="00001EB9" w:rsidP="00E22D4E">
      <w:pPr>
        <w:pStyle w:val="RAN4proposal"/>
        <w:ind w:left="567"/>
        <w:rPr>
          <w:lang w:val="en-GB"/>
        </w:rPr>
      </w:pPr>
      <w:bookmarkStart w:id="7" w:name="_Toc159231756"/>
      <w:r w:rsidRPr="0010792E">
        <w:t xml:space="preserve">For R18 </w:t>
      </w:r>
      <w:r w:rsidRPr="00480B76">
        <w:t>multi</w:t>
      </w:r>
      <w:r w:rsidRPr="0010792E">
        <w:t>-Rx reception, introduce one test case to verify the enhancement of scheduling restriction relaxation on CSI-RS based L1 measurements.</w:t>
      </w:r>
      <w:bookmarkEnd w:id="7"/>
    </w:p>
    <w:p w14:paraId="5F7401FE" w14:textId="77777777" w:rsidR="00E3632E" w:rsidRDefault="00E3632E" w:rsidP="00E22D4E">
      <w:pPr>
        <w:pStyle w:val="RAN4proposal"/>
        <w:ind w:left="567"/>
      </w:pPr>
      <w:bookmarkStart w:id="8" w:name="_Toc159231757"/>
      <w:r w:rsidRPr="0010792E">
        <w:t xml:space="preserve">For R18 multi-Rx reception, introduce one test case to verify the enhancement of </w:t>
      </w:r>
      <w:r>
        <w:t>measurement</w:t>
      </w:r>
      <w:r w:rsidRPr="0010792E">
        <w:t xml:space="preserve"> restriction relaxation on CSI-RS based L1 measurements.</w:t>
      </w:r>
      <w:bookmarkEnd w:id="8"/>
    </w:p>
    <w:p w14:paraId="6935FE47" w14:textId="2BB8A810" w:rsidR="00B8398E" w:rsidRPr="00B8398E" w:rsidRDefault="00B8398E" w:rsidP="00E22D4E">
      <w:pPr>
        <w:pStyle w:val="RAN4proposal"/>
        <w:ind w:left="567"/>
      </w:pPr>
      <w:bookmarkStart w:id="9" w:name="_Toc159231758"/>
      <w:r>
        <w:t xml:space="preserve">Measurement restrictions can be tested by configuring overlapping RS for </w:t>
      </w:r>
      <w:r w:rsidR="00974131">
        <w:t xml:space="preserve">L1 </w:t>
      </w:r>
      <w:r w:rsidR="001140A4">
        <w:t xml:space="preserve">test </w:t>
      </w:r>
      <w:r w:rsidDel="00974131">
        <w:t>cases</w:t>
      </w:r>
      <w:r w:rsidR="00885100">
        <w:t>.</w:t>
      </w:r>
      <w:bookmarkEnd w:id="9"/>
    </w:p>
    <w:p w14:paraId="573F4D72" w14:textId="77777777" w:rsidR="000F2E3A" w:rsidRPr="00E52EA8" w:rsidRDefault="000F2E3A" w:rsidP="00B527B8">
      <w:pPr>
        <w:rPr>
          <w:lang w:val="en-GB"/>
        </w:rPr>
      </w:pPr>
    </w:p>
    <w:p w14:paraId="6048EAEB" w14:textId="45858945" w:rsidR="00D9326C" w:rsidRDefault="00AA335F" w:rsidP="00AC73FA">
      <w:pPr>
        <w:pStyle w:val="RAN4H2"/>
        <w:rPr>
          <w:color w:val="BFBFBF" w:themeColor="background1" w:themeShade="BF"/>
          <w:lang w:val="en-GB"/>
        </w:rPr>
      </w:pPr>
      <w:r w:rsidRPr="00F13737">
        <w:rPr>
          <w:lang w:val="en-GB"/>
        </w:rPr>
        <w:t>Test cases for TCI state switch</w:t>
      </w:r>
      <w:r w:rsidR="00AC73FA" w:rsidRPr="00F13737">
        <w:rPr>
          <w:lang w:val="en-GB"/>
        </w:rPr>
        <w:t xml:space="preserve"> </w:t>
      </w:r>
    </w:p>
    <w:p w14:paraId="66111EE9" w14:textId="17640CB2" w:rsidR="00AA335F" w:rsidRDefault="00E22D4E" w:rsidP="00AC73FA">
      <w:pPr>
        <w:rPr>
          <w:lang w:val="en-GB"/>
        </w:rPr>
      </w:pPr>
      <w:r w:rsidRPr="00F13737">
        <w:rPr>
          <w:noProof/>
          <w:lang w:val="en-GB"/>
        </w:rPr>
        <mc:AlternateContent>
          <mc:Choice Requires="wps">
            <w:drawing>
              <wp:anchor distT="45720" distB="45720" distL="114300" distR="114300" simplePos="0" relativeHeight="251658241" behindDoc="0" locked="0" layoutInCell="1" allowOverlap="1" wp14:anchorId="24A7B90C" wp14:editId="20EDCF78">
                <wp:simplePos x="0" y="0"/>
                <wp:positionH relativeFrom="column">
                  <wp:posOffset>889000</wp:posOffset>
                </wp:positionH>
                <wp:positionV relativeFrom="paragraph">
                  <wp:posOffset>64770</wp:posOffset>
                </wp:positionV>
                <wp:extent cx="4629150" cy="692150"/>
                <wp:effectExtent l="0" t="0" r="19050" b="12700"/>
                <wp:wrapSquare wrapText="bothSides"/>
                <wp:docPr id="2043104539" name="Text Box 2043104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9150" cy="692150"/>
                        </a:xfrm>
                        <a:prstGeom prst="rect">
                          <a:avLst/>
                        </a:prstGeom>
                        <a:solidFill>
                          <a:srgbClr val="FFFFFF"/>
                        </a:solidFill>
                        <a:ln w="9525">
                          <a:solidFill>
                            <a:srgbClr val="000000"/>
                          </a:solidFill>
                          <a:miter lim="800000"/>
                          <a:headEnd/>
                          <a:tailEnd/>
                        </a:ln>
                      </wps:spPr>
                      <wps:txbx>
                        <w:txbxContent>
                          <w:p w14:paraId="616E2F8B" w14:textId="535A183F" w:rsidR="00AA335F" w:rsidRPr="00AA335F" w:rsidRDefault="00AA335F" w:rsidP="006668D8">
                            <w:pPr>
                              <w:pStyle w:val="NormalWeb"/>
                              <w:spacing w:before="0" w:beforeAutospacing="0" w:after="180" w:afterAutospacing="0"/>
                              <w:ind w:left="180"/>
                              <w:rPr>
                                <w:color w:val="000000"/>
                                <w:sz w:val="20"/>
                                <w:szCs w:val="20"/>
                                <w:lang w:val="en-GB"/>
                              </w:rPr>
                            </w:pPr>
                            <w:r w:rsidRPr="00AA335F">
                              <w:rPr>
                                <w:b/>
                                <w:bCs/>
                                <w:color w:val="000000"/>
                                <w:sz w:val="20"/>
                                <w:szCs w:val="20"/>
                                <w:u w:val="single"/>
                                <w:lang w:val="en-GB"/>
                              </w:rPr>
                              <w:t>Issue 1-7: Test case(s) for TCI state switching</w:t>
                            </w:r>
                          </w:p>
                          <w:p w14:paraId="5B22D33E" w14:textId="77777777" w:rsidR="00AA335F" w:rsidRPr="00AA335F" w:rsidRDefault="00AA335F" w:rsidP="006668D8">
                            <w:pPr>
                              <w:numPr>
                                <w:ilvl w:val="0"/>
                                <w:numId w:val="42"/>
                              </w:numPr>
                              <w:tabs>
                                <w:tab w:val="clear" w:pos="720"/>
                                <w:tab w:val="num" w:pos="360"/>
                              </w:tabs>
                              <w:spacing w:after="120" w:line="240" w:lineRule="auto"/>
                              <w:ind w:left="360"/>
                              <w:textAlignment w:val="center"/>
                              <w:rPr>
                                <w:rFonts w:ascii="Calibri" w:eastAsia="Times New Roman" w:hAnsi="Calibri" w:cs="Calibri"/>
                                <w:sz w:val="22"/>
                                <w:lang w:val="en-GB"/>
                              </w:rPr>
                            </w:pPr>
                            <w:r w:rsidRPr="00AA335F">
                              <w:rPr>
                                <w:rFonts w:eastAsia="Times New Roman" w:cs="Times New Roman"/>
                                <w:color w:val="000000"/>
                                <w:szCs w:val="20"/>
                                <w:lang w:val="en-GB"/>
                              </w:rPr>
                              <w:t>Companies are encouraged to bring analysis on test case(s) for TCI state switching</w:t>
                            </w:r>
                          </w:p>
                          <w:p w14:paraId="69242D7C" w14:textId="4EF2CAC7" w:rsidR="00AA335F" w:rsidRDefault="00AA335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A7B90C" id="Text Box 2043104539" o:spid="_x0000_s1029" type="#_x0000_t202" style="position:absolute;margin-left:70pt;margin-top:5.1pt;width:364.5pt;height:54.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">
                <v:textbox>
                  <w:txbxContent>
                    <w:p w14:paraId="616E2F8B" w14:textId="535A183F" w:rsidR="00AA335F" w:rsidRPr="00AA335F" w:rsidRDefault="00AA335F" w:rsidP="006668D8">
                      <w:pPr>
                        <w:pStyle w:val="NormalWeb"/>
                        <w:spacing w:before="0" w:beforeAutospacing="0" w:after="180" w:afterAutospacing="0"/>
                        <w:ind w:left="180"/>
                        <w:rPr>
                          <w:color w:val="000000"/>
                          <w:sz w:val="20"/>
                          <w:szCs w:val="20"/>
                          <w:lang w:val="en-GB"/>
                        </w:rPr>
                      </w:pPr>
                      <w:r w:rsidRPr="00AA335F">
                        <w:rPr>
                          <w:b/>
                          <w:bCs/>
                          <w:color w:val="000000"/>
                          <w:sz w:val="20"/>
                          <w:szCs w:val="20"/>
                          <w:u w:val="single"/>
                          <w:lang w:val="en-GB"/>
                        </w:rPr>
                        <w:t>Issue 1-7: Test case(s) for TCI state switching</w:t>
                      </w:r>
                    </w:p>
                    <w:p w14:paraId="5B22D33E" w14:textId="77777777" w:rsidR="00AA335F" w:rsidRPr="00AA335F" w:rsidRDefault="00AA335F" w:rsidP="006668D8">
                      <w:pPr>
                        <w:numPr>
                          <w:ilvl w:val="0"/>
                          <w:numId w:val="42"/>
                        </w:numPr>
                        <w:tabs>
                          <w:tab w:val="clear" w:pos="720"/>
                          <w:tab w:val="num" w:pos="360"/>
                        </w:tabs>
                        <w:spacing w:after="120" w:line="240" w:lineRule="auto"/>
                        <w:ind w:left="360"/>
                        <w:textAlignment w:val="center"/>
                        <w:rPr>
                          <w:rFonts w:ascii="Calibri" w:eastAsia="Times New Roman" w:hAnsi="Calibri" w:cs="Calibri"/>
                          <w:sz w:val="22"/>
                          <w:lang w:val="en-GB"/>
                        </w:rPr>
                      </w:pPr>
                      <w:r w:rsidRPr="00AA335F">
                        <w:rPr>
                          <w:rFonts w:eastAsia="Times New Roman" w:cs="Times New Roman"/>
                          <w:color w:val="000000"/>
                          <w:szCs w:val="20"/>
                          <w:lang w:val="en-GB"/>
                        </w:rPr>
                        <w:t>Companies are encouraged to bring analysis on test case(s) for TCI state switching</w:t>
                      </w:r>
                    </w:p>
                    <w:p w14:paraId="69242D7C" w14:textId="4EF2CAC7" w:rsidR="00AA335F" w:rsidRDefault="00AA335F"/>
                  </w:txbxContent>
                </v:textbox>
                <w10:wrap type="square"/>
              </v:shape>
            </w:pict>
          </mc:Fallback>
        </mc:AlternateContent>
      </w:r>
    </w:p>
    <w:p w14:paraId="64B87C2A" w14:textId="38288B38" w:rsidR="00AA335F" w:rsidRDefault="00AA335F" w:rsidP="00AC73FA">
      <w:pPr>
        <w:rPr>
          <w:lang w:val="en-GB"/>
        </w:rPr>
      </w:pPr>
    </w:p>
    <w:p w14:paraId="3696107D" w14:textId="71DB0D8E" w:rsidR="00AA335F" w:rsidRDefault="00AA335F" w:rsidP="00AC73FA">
      <w:pPr>
        <w:rPr>
          <w:lang w:val="en-GB"/>
        </w:rPr>
      </w:pPr>
    </w:p>
    <w:p w14:paraId="4327A3C3" w14:textId="4209541E" w:rsidR="00AA335F" w:rsidRDefault="00AA335F" w:rsidP="00AC73FA">
      <w:pPr>
        <w:rPr>
          <w:lang w:val="en-GB"/>
        </w:rPr>
      </w:pPr>
    </w:p>
    <w:p w14:paraId="1D589E34" w14:textId="77777777" w:rsidR="00A10672" w:rsidRDefault="00A10672" w:rsidP="00D52B7F">
      <w:pPr>
        <w:rPr>
          <w:lang w:val="en-GB"/>
        </w:rPr>
      </w:pPr>
      <w:r>
        <w:rPr>
          <w:lang w:val="en-GB"/>
        </w:rPr>
        <w:t xml:space="preserve">Since </w:t>
      </w:r>
      <w:r w:rsidRPr="007C5888">
        <w:rPr>
          <w:lang w:val="en-GB"/>
        </w:rPr>
        <w:t xml:space="preserve">TCI state switching is the most impacted requirement in the multi-Rx work item, </w:t>
      </w:r>
      <w:r>
        <w:rPr>
          <w:lang w:val="en-GB"/>
        </w:rPr>
        <w:t>defining test cases covering the different scenarios</w:t>
      </w:r>
      <w:r w:rsidRPr="007C5888">
        <w:rPr>
          <w:lang w:val="en-GB"/>
        </w:rPr>
        <w:t xml:space="preserve"> of TCI state switching requirements </w:t>
      </w:r>
      <w:r>
        <w:rPr>
          <w:lang w:val="en-GB"/>
        </w:rPr>
        <w:t>should be</w:t>
      </w:r>
      <w:r w:rsidRPr="007C5888">
        <w:rPr>
          <w:lang w:val="en-GB"/>
        </w:rPr>
        <w:t xml:space="preserve"> the most important aspect of the performance part of the WI. </w:t>
      </w:r>
    </w:p>
    <w:p w14:paraId="28166B52" w14:textId="77777777" w:rsidR="00F13737" w:rsidRDefault="00A10672" w:rsidP="00D52B7F">
      <w:pPr>
        <w:rPr>
          <w:lang w:val="en-GB"/>
        </w:rPr>
      </w:pPr>
      <w:r>
        <w:rPr>
          <w:lang w:val="en-GB"/>
        </w:rPr>
        <w:t xml:space="preserve">A </w:t>
      </w:r>
      <w:r w:rsidRPr="007C5888">
        <w:rPr>
          <w:lang w:val="en-GB"/>
        </w:rPr>
        <w:t xml:space="preserve">TCI state switch </w:t>
      </w:r>
      <w:r w:rsidR="00B527B8">
        <w:rPr>
          <w:lang w:val="en-GB"/>
        </w:rPr>
        <w:t xml:space="preserve">in m-Rx </w:t>
      </w:r>
      <w:r w:rsidRPr="007C5888">
        <w:rPr>
          <w:lang w:val="en-GB"/>
        </w:rPr>
        <w:t xml:space="preserve">may happen between dual to single TCI states, single to dual TCI states and dual to dual TCI states. </w:t>
      </w:r>
    </w:p>
    <w:p w14:paraId="5E81BD18" w14:textId="7729AB0F" w:rsidR="00F13737" w:rsidRPr="00D52B7F" w:rsidRDefault="00F13737" w:rsidP="00D52B7F">
      <w:r w:rsidRPr="00D52B7F">
        <w:rPr>
          <w:lang w:val="en-GB"/>
        </w:rPr>
        <w:t>Considering the TCI state switching types - dual to dual, single to dual and dual to single - in our view, the most important use case</w:t>
      </w:r>
      <w:r w:rsidR="00B9107F" w:rsidRPr="00D52B7F">
        <w:rPr>
          <w:lang w:val="en-GB"/>
        </w:rPr>
        <w:t>s</w:t>
      </w:r>
      <w:r w:rsidRPr="00D52B7F">
        <w:rPr>
          <w:lang w:val="en-GB"/>
        </w:rPr>
        <w:t xml:space="preserve"> </w:t>
      </w:r>
      <w:r w:rsidR="00B9107F" w:rsidRPr="00D52B7F">
        <w:rPr>
          <w:lang w:val="en-GB"/>
        </w:rPr>
        <w:t>are</w:t>
      </w:r>
      <w:r w:rsidRPr="00D52B7F">
        <w:rPr>
          <w:lang w:val="en-GB"/>
        </w:rPr>
        <w:t xml:space="preserve"> the switch from </w:t>
      </w:r>
      <w:r w:rsidR="00B9107F" w:rsidRPr="00D52B7F">
        <w:rPr>
          <w:lang w:val="en-GB"/>
        </w:rPr>
        <w:t xml:space="preserve">single to dual and </w:t>
      </w:r>
      <w:r w:rsidRPr="00D52B7F">
        <w:rPr>
          <w:lang w:val="en-GB"/>
        </w:rPr>
        <w:t>dual to dual TCI states</w:t>
      </w:r>
      <w:r w:rsidR="002B7C5E" w:rsidRPr="00D52B7F">
        <w:rPr>
          <w:lang w:val="en-GB"/>
        </w:rPr>
        <w:t xml:space="preserve">, which applies </w:t>
      </w:r>
      <w:r w:rsidR="00BA45BD" w:rsidRPr="00D52B7F">
        <w:rPr>
          <w:lang w:val="en-GB"/>
        </w:rPr>
        <w:t>to all switching types in m-DCI and for PDSCH TCI switching in s-DCI</w:t>
      </w:r>
      <w:r w:rsidRPr="00D52B7F">
        <w:rPr>
          <w:lang w:val="en-GB"/>
        </w:rPr>
        <w:t xml:space="preserve">. As </w:t>
      </w:r>
      <w:r w:rsidR="000227D4" w:rsidRPr="00D52B7F">
        <w:rPr>
          <w:lang w:val="en-GB"/>
        </w:rPr>
        <w:t>we proposed earlier in this paper</w:t>
      </w:r>
      <w:r w:rsidRPr="00D52B7F">
        <w:rPr>
          <w:lang w:val="en-GB"/>
        </w:rPr>
        <w:t xml:space="preserve">, to switch from dual to dual TCI states would require using 4 active probes in the test environment. 2 probes should </w:t>
      </w:r>
      <w:r w:rsidR="008A3135" w:rsidRPr="00D52B7F">
        <w:rPr>
          <w:lang w:val="en-GB"/>
        </w:rPr>
        <w:t>be</w:t>
      </w:r>
      <w:r w:rsidR="001407BF" w:rsidRPr="00D52B7F">
        <w:rPr>
          <w:lang w:val="en-GB"/>
        </w:rPr>
        <w:t xml:space="preserve"> </w:t>
      </w:r>
      <w:r w:rsidRPr="00D52B7F">
        <w:rPr>
          <w:lang w:val="en-GB"/>
        </w:rPr>
        <w:t xml:space="preserve">configured for the source TCI states and 2 probes are configured for the target TCI states </w:t>
      </w:r>
    </w:p>
    <w:p w14:paraId="32403569" w14:textId="523F12FB" w:rsidR="00F13737" w:rsidRPr="00D52B7F" w:rsidRDefault="00F13737" w:rsidP="00D52B7F">
      <w:pPr>
        <w:rPr>
          <w:lang w:val="en-GB"/>
        </w:rPr>
      </w:pPr>
      <w:r w:rsidRPr="00D52B7F">
        <w:rPr>
          <w:lang w:val="en-GB"/>
        </w:rPr>
        <w:lastRenderedPageBreak/>
        <w:t xml:space="preserve">Furthermore, </w:t>
      </w:r>
      <w:r w:rsidR="00D866D6" w:rsidRPr="00D52B7F">
        <w:rPr>
          <w:lang w:val="en-GB"/>
        </w:rPr>
        <w:t xml:space="preserve">at least for s-DCI, </w:t>
      </w:r>
      <w:r w:rsidRPr="00D52B7F">
        <w:rPr>
          <w:lang w:val="en-GB"/>
        </w:rPr>
        <w:t xml:space="preserve">test cases should also be defined for dual to single and single to dual </w:t>
      </w:r>
      <w:r w:rsidR="00D866D6" w:rsidRPr="00D52B7F">
        <w:rPr>
          <w:lang w:val="en-GB"/>
        </w:rPr>
        <w:t xml:space="preserve">PDSCH </w:t>
      </w:r>
      <w:r w:rsidRPr="00D52B7F">
        <w:rPr>
          <w:lang w:val="en-GB"/>
        </w:rPr>
        <w:t>TCI state switch</w:t>
      </w:r>
      <w:r w:rsidR="00D866D6" w:rsidRPr="00D52B7F">
        <w:rPr>
          <w:lang w:val="en-GB"/>
        </w:rPr>
        <w:t>, as for s-DCI these type of switches can be considered to happen more flexibly</w:t>
      </w:r>
      <w:r w:rsidRPr="00D52B7F">
        <w:rPr>
          <w:lang w:val="en-GB"/>
        </w:rPr>
        <w:t>.</w:t>
      </w:r>
      <w:r w:rsidR="00343667" w:rsidRPr="00D52B7F">
        <w:rPr>
          <w:lang w:val="en-GB"/>
        </w:rPr>
        <w:t xml:space="preserve"> Furthermore, for </w:t>
      </w:r>
      <w:r w:rsidR="006F4CCC" w:rsidRPr="00D52B7F">
        <w:rPr>
          <w:lang w:val="en-GB"/>
        </w:rPr>
        <w:t>dual to single TCI state switch RAN4 agreed that there is no TCI state switching delay</w:t>
      </w:r>
      <w:r w:rsidR="00F133A0" w:rsidRPr="00D52B7F">
        <w:rPr>
          <w:lang w:val="en-GB"/>
        </w:rPr>
        <w:t>, which is clearly a new requirement.</w:t>
      </w:r>
      <w:r w:rsidRPr="00D52B7F">
        <w:rPr>
          <w:lang w:val="en-GB"/>
        </w:rPr>
        <w:t xml:space="preserve"> </w:t>
      </w:r>
      <w:r w:rsidR="00F133A0" w:rsidRPr="00D52B7F">
        <w:rPr>
          <w:lang w:val="en-GB"/>
        </w:rPr>
        <w:t>For these test cases</w:t>
      </w:r>
      <w:r w:rsidRPr="00D52B7F">
        <w:rPr>
          <w:lang w:val="en-GB"/>
        </w:rPr>
        <w:t xml:space="preserve"> the number of needed probes can be less than 4.</w:t>
      </w:r>
      <w:r w:rsidR="001335AC" w:rsidRPr="00D52B7F">
        <w:rPr>
          <w:lang w:val="en-GB"/>
        </w:rPr>
        <w:t xml:space="preserve"> </w:t>
      </w:r>
    </w:p>
    <w:p w14:paraId="644DC200" w14:textId="47F21613" w:rsidR="00F13737" w:rsidRPr="00D52B7F" w:rsidRDefault="00F13737" w:rsidP="00E22D4E">
      <w:pPr>
        <w:pStyle w:val="RAN4proposal"/>
        <w:ind w:left="1020"/>
      </w:pPr>
      <w:bookmarkStart w:id="10" w:name="_Toc159231759"/>
      <w:r w:rsidRPr="00D52B7F">
        <w:t xml:space="preserve">Define </w:t>
      </w:r>
      <w:r w:rsidRPr="00D52B7F" w:rsidDel="001407BF">
        <w:t xml:space="preserve">TCI state </w:t>
      </w:r>
      <w:r w:rsidR="001407BF" w:rsidRPr="00D52B7F">
        <w:t>switc</w:t>
      </w:r>
      <w:r w:rsidR="00B12329" w:rsidRPr="00D52B7F">
        <w:t xml:space="preserve">hing test cases </w:t>
      </w:r>
      <w:r w:rsidR="003A2583" w:rsidRPr="00D52B7F">
        <w:t xml:space="preserve">for </w:t>
      </w:r>
      <w:r w:rsidR="00091F31" w:rsidRPr="00D52B7F" w:rsidDel="000B68CF">
        <w:t xml:space="preserve">dual to dual TCI state </w:t>
      </w:r>
      <w:r w:rsidR="000B68CF" w:rsidRPr="00D52B7F">
        <w:t>switch</w:t>
      </w:r>
      <w:r w:rsidR="00091F31" w:rsidRPr="00D52B7F" w:rsidDel="000B68CF">
        <w:t xml:space="preserve"> for m-DCI and s-DCI</w:t>
      </w:r>
      <w:r w:rsidRPr="00D52B7F">
        <w:t>.</w:t>
      </w:r>
      <w:r w:rsidR="00E5171D" w:rsidRPr="00D52B7F">
        <w:t xml:space="preserve"> Additionally, define single to dual and dual to single TCI state switch </w:t>
      </w:r>
      <w:r w:rsidR="00CD26EE" w:rsidRPr="00D52B7F">
        <w:t xml:space="preserve">test cases </w:t>
      </w:r>
      <w:r w:rsidR="00E5171D" w:rsidRPr="00D52B7F">
        <w:t xml:space="preserve">for </w:t>
      </w:r>
      <w:r w:rsidR="00343667" w:rsidRPr="00D52B7F">
        <w:t>PDSCH TCI state switch for s-DCI.</w:t>
      </w:r>
      <w:bookmarkEnd w:id="10"/>
    </w:p>
    <w:p w14:paraId="3D68562E" w14:textId="3E2B7945" w:rsidR="00A10672" w:rsidRDefault="00214600" w:rsidP="00D52B7F">
      <w:pPr>
        <w:rPr>
          <w:lang w:val="en-GB"/>
        </w:rPr>
      </w:pPr>
      <w:r>
        <w:rPr>
          <w:lang w:val="en-GB"/>
        </w:rPr>
        <w:t xml:space="preserve"> New requirements have been defined for the following cases:</w:t>
      </w:r>
    </w:p>
    <w:p w14:paraId="71C28C8E" w14:textId="77777777" w:rsidR="00F13737" w:rsidRPr="00F13737" w:rsidRDefault="00F13737" w:rsidP="00D52B7F">
      <w:pPr>
        <w:rPr>
          <w:lang w:val="en-GB"/>
        </w:rPr>
      </w:pPr>
      <w:r w:rsidRPr="00F13737">
        <w:rPr>
          <w:lang w:val="en-GB"/>
        </w:rPr>
        <w:t>-</w:t>
      </w:r>
      <w:r w:rsidRPr="00F13737">
        <w:rPr>
          <w:lang w:val="en-GB"/>
        </w:rPr>
        <w:tab/>
        <w:t>MAC-CE based TCI state switch delay for PDCCH repetition</w:t>
      </w:r>
    </w:p>
    <w:p w14:paraId="4F970C09" w14:textId="77777777" w:rsidR="00F13737" w:rsidRPr="00F13737" w:rsidRDefault="00F13737" w:rsidP="00D52B7F">
      <w:pPr>
        <w:rPr>
          <w:lang w:val="en-GB"/>
        </w:rPr>
      </w:pPr>
      <w:r w:rsidRPr="00F13737">
        <w:rPr>
          <w:lang w:val="en-GB"/>
        </w:rPr>
        <w:t>-</w:t>
      </w:r>
      <w:r w:rsidRPr="00F13737">
        <w:rPr>
          <w:lang w:val="en-GB"/>
        </w:rPr>
        <w:tab/>
        <w:t>MAC-CE based TCI state switch delay for m-DCI</w:t>
      </w:r>
    </w:p>
    <w:p w14:paraId="70B5A296" w14:textId="77777777" w:rsidR="00F13737" w:rsidRPr="00F13737" w:rsidRDefault="00F13737" w:rsidP="00D52B7F">
      <w:pPr>
        <w:rPr>
          <w:lang w:val="en-GB"/>
        </w:rPr>
      </w:pPr>
      <w:r w:rsidRPr="00F13737">
        <w:rPr>
          <w:lang w:val="en-GB"/>
        </w:rPr>
        <w:t>-</w:t>
      </w:r>
      <w:r w:rsidRPr="00F13737">
        <w:rPr>
          <w:lang w:val="en-GB"/>
        </w:rPr>
        <w:tab/>
        <w:t>DCI based TCI state switch delay for s-DCI</w:t>
      </w:r>
    </w:p>
    <w:p w14:paraId="032B5539" w14:textId="77777777" w:rsidR="00F13737" w:rsidRPr="00F13737" w:rsidRDefault="00F13737" w:rsidP="00D52B7F">
      <w:pPr>
        <w:rPr>
          <w:lang w:val="en-GB"/>
        </w:rPr>
      </w:pPr>
      <w:r w:rsidRPr="00F13737">
        <w:rPr>
          <w:lang w:val="en-GB"/>
        </w:rPr>
        <w:t>-</w:t>
      </w:r>
      <w:r w:rsidRPr="00F13737">
        <w:rPr>
          <w:lang w:val="en-GB"/>
        </w:rPr>
        <w:tab/>
        <w:t>DCI based TCI state switch delay for m-DCI</w:t>
      </w:r>
    </w:p>
    <w:p w14:paraId="30712195" w14:textId="77777777" w:rsidR="00F13737" w:rsidRPr="00F13737" w:rsidRDefault="00F13737" w:rsidP="00D52B7F">
      <w:pPr>
        <w:rPr>
          <w:lang w:val="en-GB"/>
        </w:rPr>
      </w:pPr>
      <w:r w:rsidRPr="00F13737">
        <w:rPr>
          <w:lang w:val="en-GB"/>
        </w:rPr>
        <w:t>-</w:t>
      </w:r>
      <w:r w:rsidRPr="00F13737">
        <w:rPr>
          <w:lang w:val="en-GB"/>
        </w:rPr>
        <w:tab/>
        <w:t>Active TCI state list update delay for s-DCI</w:t>
      </w:r>
    </w:p>
    <w:p w14:paraId="7A213DA9" w14:textId="7F221B9B" w:rsidR="00214600" w:rsidRPr="00144534" w:rsidRDefault="00F13737" w:rsidP="00D52B7F">
      <w:pPr>
        <w:rPr>
          <w:lang w:val="en-GB"/>
        </w:rPr>
      </w:pPr>
      <w:r w:rsidRPr="00144534">
        <w:rPr>
          <w:lang w:val="en-GB"/>
        </w:rPr>
        <w:t>-</w:t>
      </w:r>
      <w:r w:rsidRPr="00144534">
        <w:rPr>
          <w:lang w:val="en-GB"/>
        </w:rPr>
        <w:tab/>
        <w:t>Active TCI State list update delay for m-DCI</w:t>
      </w:r>
    </w:p>
    <w:p w14:paraId="162F79B5" w14:textId="198E6BB3" w:rsidR="00722CBF" w:rsidRPr="00144534" w:rsidRDefault="00214600" w:rsidP="00D52B7F">
      <w:pPr>
        <w:rPr>
          <w:lang w:val="en-GB"/>
        </w:rPr>
      </w:pPr>
      <w:r w:rsidRPr="00144534">
        <w:rPr>
          <w:lang w:val="en-GB"/>
        </w:rPr>
        <w:t>RRC based TCI state switch</w:t>
      </w:r>
      <w:r w:rsidR="00F13737" w:rsidRPr="00144534">
        <w:rPr>
          <w:lang w:val="en-GB"/>
        </w:rPr>
        <w:t xml:space="preserve"> delay</w:t>
      </w:r>
      <w:r w:rsidRPr="00144534">
        <w:rPr>
          <w:lang w:val="en-GB"/>
        </w:rPr>
        <w:t xml:space="preserve"> requirements </w:t>
      </w:r>
      <w:r w:rsidR="00F13737" w:rsidRPr="00144534">
        <w:rPr>
          <w:lang w:val="en-GB"/>
        </w:rPr>
        <w:t xml:space="preserve">and </w:t>
      </w:r>
      <w:r w:rsidR="00F13737" w:rsidRPr="006668D8">
        <w:rPr>
          <w:rStyle w:val="normaltextrun"/>
          <w:szCs w:val="20"/>
        </w:rPr>
        <w:t xml:space="preserve">MAC-CE based TCI state switch delay requirements for s-DCI </w:t>
      </w:r>
      <w:r w:rsidRPr="00144534">
        <w:rPr>
          <w:lang w:val="en-GB"/>
        </w:rPr>
        <w:t>are based on legacy requirements</w:t>
      </w:r>
      <w:r w:rsidR="00144534" w:rsidRPr="00144534">
        <w:rPr>
          <w:lang w:val="en-GB"/>
        </w:rPr>
        <w:t>.</w:t>
      </w:r>
      <w:r w:rsidRPr="00144534">
        <w:rPr>
          <w:lang w:val="en-GB"/>
        </w:rPr>
        <w:t xml:space="preserve">  </w:t>
      </w:r>
      <w:r w:rsidR="00F13737" w:rsidRPr="00144534">
        <w:rPr>
          <w:lang w:val="en-GB"/>
        </w:rPr>
        <w:t>Both these cases, in our view it is sufficient that the UE passes the legacy test case.</w:t>
      </w:r>
    </w:p>
    <w:p w14:paraId="365CCAC7" w14:textId="263F8BD8" w:rsidR="00722CBF" w:rsidRPr="007C5888" w:rsidRDefault="00722CBF" w:rsidP="00E22D4E">
      <w:pPr>
        <w:pStyle w:val="RAN4proposal"/>
        <w:ind w:left="1191"/>
      </w:pPr>
      <w:bookmarkStart w:id="11" w:name="_Toc159231760"/>
      <w:r w:rsidRPr="007C5888">
        <w:t xml:space="preserve">For RRC-based TCI state switch in m-DCI, </w:t>
      </w:r>
      <w:r w:rsidR="00F13737">
        <w:t>and MAC-CE based TCI state switch in s-DCI</w:t>
      </w:r>
      <w:r w:rsidR="00DB3ED5">
        <w:t>,</w:t>
      </w:r>
      <w:r w:rsidR="00F13737">
        <w:t xml:space="preserve"> </w:t>
      </w:r>
      <w:r w:rsidRPr="007C5888">
        <w:t>it is sufficient that the UE passes the legacy test case.</w:t>
      </w:r>
      <w:bookmarkEnd w:id="11"/>
    </w:p>
    <w:p w14:paraId="639084EB" w14:textId="388028FD" w:rsidR="0040478B" w:rsidRPr="00D52B7F" w:rsidRDefault="0040478B" w:rsidP="00D52B7F">
      <w:pPr>
        <w:pStyle w:val="RAN4H3"/>
        <w:ind w:left="504"/>
        <w:outlineLvl w:val="2"/>
        <w:rPr>
          <w:sz w:val="28"/>
          <w:szCs w:val="24"/>
        </w:rPr>
      </w:pPr>
      <w:r w:rsidRPr="00D52B7F">
        <w:rPr>
          <w:sz w:val="28"/>
          <w:szCs w:val="24"/>
          <w:lang w:val="en-GB"/>
        </w:rPr>
        <w:t>M</w:t>
      </w:r>
      <w:r w:rsidRPr="00D52B7F">
        <w:rPr>
          <w:sz w:val="28"/>
          <w:szCs w:val="24"/>
        </w:rPr>
        <w:t>AC CE based dual TCI state switch</w:t>
      </w:r>
    </w:p>
    <w:p w14:paraId="36232F67" w14:textId="75A6A3A2" w:rsidR="007C27BB" w:rsidRPr="00D52B7F" w:rsidRDefault="007C27BB" w:rsidP="00D52B7F">
      <w:pPr>
        <w:rPr>
          <w:lang w:val="en-GB"/>
        </w:rPr>
      </w:pPr>
      <w:r w:rsidRPr="00D52B7F">
        <w:rPr>
          <w:lang w:val="en-GB"/>
        </w:rPr>
        <w:t xml:space="preserve">In m-DCI, TCI states for different TRPs are switched with separate MAC-CEs independent from each other. Taking this into account, MAC-CE based dual TCI state switch for PDCCH in m-DCI means that the MAC-CEs from the two TRPs arrive simultaneously or the distance in time between the received MAC-CEs is shorter than MAC-CE based TCI state switching delay. </w:t>
      </w:r>
      <w:r w:rsidR="007F73FC" w:rsidRPr="00D52B7F">
        <w:rPr>
          <w:lang w:val="en-GB"/>
        </w:rPr>
        <w:t xml:space="preserve">The agreed requirement is </w:t>
      </w:r>
      <w:r w:rsidR="00BC5CA6" w:rsidRPr="00D52B7F">
        <w:rPr>
          <w:lang w:val="en-GB"/>
        </w:rPr>
        <w:t xml:space="preserve">very similar to the legacy single TCI state switching requirement for each TCI state switch, but the UE is only required to </w:t>
      </w:r>
      <w:r w:rsidR="001712C8" w:rsidRPr="00D52B7F">
        <w:rPr>
          <w:lang w:val="en-GB"/>
        </w:rPr>
        <w:t xml:space="preserve">start receiving with the two target TCI states after both switches have been completed. </w:t>
      </w:r>
      <w:r w:rsidR="00434E52" w:rsidRPr="00D52B7F">
        <w:rPr>
          <w:lang w:val="en-GB"/>
        </w:rPr>
        <w:t>Hence, m-DCI</w:t>
      </w:r>
      <w:r w:rsidR="002A7EE6" w:rsidRPr="00D52B7F" w:rsidDel="00BB0427">
        <w:rPr>
          <w:lang w:val="en-GB"/>
        </w:rPr>
        <w:t xml:space="preserve"> </w:t>
      </w:r>
      <w:r w:rsidR="002A7EE6" w:rsidRPr="00D52B7F">
        <w:rPr>
          <w:lang w:val="en-GB"/>
        </w:rPr>
        <w:t xml:space="preserve">test case </w:t>
      </w:r>
      <w:r w:rsidR="00BB0427" w:rsidRPr="00D52B7F">
        <w:rPr>
          <w:lang w:val="en-GB"/>
        </w:rPr>
        <w:t xml:space="preserve">for MAC-CE based TCI state switch </w:t>
      </w:r>
      <w:r w:rsidR="002A7EE6" w:rsidRPr="00D52B7F">
        <w:rPr>
          <w:lang w:val="en-GB"/>
        </w:rPr>
        <w:t>would be similar to the single-R</w:t>
      </w:r>
      <w:r w:rsidR="00BD00B4" w:rsidRPr="00D52B7F">
        <w:rPr>
          <w:lang w:val="en-GB"/>
        </w:rPr>
        <w:t>x legacy MAC-CE based TCI state switching test case</w:t>
      </w:r>
      <w:r w:rsidR="00566325" w:rsidRPr="00D52B7F">
        <w:rPr>
          <w:lang w:val="en-GB"/>
        </w:rPr>
        <w:t>, but with two TRPs</w:t>
      </w:r>
      <w:r w:rsidR="00300516" w:rsidRPr="00D52B7F">
        <w:rPr>
          <w:lang w:val="en-GB"/>
        </w:rPr>
        <w:t>/QCL Type-D sources</w:t>
      </w:r>
      <w:r w:rsidR="00566325" w:rsidRPr="00D52B7F">
        <w:rPr>
          <w:lang w:val="en-GB"/>
        </w:rPr>
        <w:t xml:space="preserve"> involved</w:t>
      </w:r>
      <w:r w:rsidR="00F14126" w:rsidRPr="00D52B7F">
        <w:rPr>
          <w:lang w:val="en-GB"/>
        </w:rPr>
        <w:t xml:space="preserve"> and TCI state switches overlapping</w:t>
      </w:r>
      <w:r w:rsidR="00566325" w:rsidRPr="00D52B7F">
        <w:rPr>
          <w:lang w:val="en-GB"/>
        </w:rPr>
        <w:t>.</w:t>
      </w:r>
    </w:p>
    <w:p w14:paraId="467153C7" w14:textId="6000159F" w:rsidR="00F13737" w:rsidRPr="00D52B7F" w:rsidRDefault="00F13737" w:rsidP="00D52B7F">
      <w:pPr>
        <w:pStyle w:val="RAN4proposal"/>
        <w:ind w:left="300"/>
      </w:pPr>
      <w:bookmarkStart w:id="12" w:name="_Toc159231761"/>
      <w:r w:rsidRPr="00D52B7F">
        <w:t xml:space="preserve">Define MAC-CE based dual TCI state switch test case for m-DCI </w:t>
      </w:r>
      <w:r w:rsidR="003214B8" w:rsidRPr="00D52B7F">
        <w:t>for overlapping TCI state switches from two TRPs</w:t>
      </w:r>
      <w:r w:rsidR="00144534" w:rsidRPr="00D52B7F">
        <w:t>.</w:t>
      </w:r>
      <w:bookmarkEnd w:id="12"/>
    </w:p>
    <w:p w14:paraId="0B78C2D3" w14:textId="6022633C" w:rsidR="000D7517" w:rsidRPr="00D52B7F" w:rsidRDefault="000D7517" w:rsidP="00D52B7F">
      <w:r w:rsidRPr="00D52B7F">
        <w:t>Furthermore, a test case to verify the MAC-CE based TCI state switching requirements for PDCCH repetition is also needed.</w:t>
      </w:r>
    </w:p>
    <w:p w14:paraId="4D42335C" w14:textId="2AEF0F06" w:rsidR="003214B8" w:rsidRPr="00D52B7F" w:rsidRDefault="003214B8" w:rsidP="00D52B7F">
      <w:pPr>
        <w:pStyle w:val="RAN4proposal"/>
      </w:pPr>
      <w:bookmarkStart w:id="13" w:name="_Toc159231762"/>
      <w:r w:rsidRPr="00D52B7F">
        <w:t>Define MAC-CE based dual TCI state switch test case for PDCCH repetition.</w:t>
      </w:r>
      <w:bookmarkEnd w:id="13"/>
    </w:p>
    <w:p w14:paraId="696E87A3" w14:textId="2DB450B8" w:rsidR="00CD1058" w:rsidRPr="00D52B7F" w:rsidRDefault="00CD1058" w:rsidP="00D52B7F">
      <w:pPr>
        <w:rPr>
          <w:lang w:val="en-GB"/>
        </w:rPr>
      </w:pPr>
    </w:p>
    <w:p w14:paraId="34B6DB90" w14:textId="29F27E91" w:rsidR="00F13737" w:rsidRPr="00D52B7F" w:rsidRDefault="00AC73FA" w:rsidP="00D52B7F">
      <w:pPr>
        <w:pStyle w:val="RAN4H3"/>
        <w:ind w:left="504"/>
        <w:outlineLvl w:val="2"/>
        <w:rPr>
          <w:sz w:val="28"/>
          <w:szCs w:val="24"/>
        </w:rPr>
      </w:pPr>
      <w:r w:rsidRPr="00D52B7F">
        <w:rPr>
          <w:sz w:val="28"/>
          <w:szCs w:val="24"/>
          <w:lang w:val="en-GB"/>
        </w:rPr>
        <w:t xml:space="preserve"> </w:t>
      </w:r>
      <w:r w:rsidR="00F13737" w:rsidRPr="00D52B7F">
        <w:rPr>
          <w:sz w:val="28"/>
          <w:szCs w:val="24"/>
          <w:lang w:val="en-GB"/>
        </w:rPr>
        <w:t>DCI based TCI state switch for PDSCH</w:t>
      </w:r>
    </w:p>
    <w:p w14:paraId="5AA32BF7" w14:textId="03052B80" w:rsidR="00F13737" w:rsidRPr="00D52B7F" w:rsidRDefault="00F13737" w:rsidP="00D52B7F">
      <w:pPr>
        <w:ind w:left="130"/>
        <w:rPr>
          <w:lang w:val="en-GB"/>
        </w:rPr>
      </w:pPr>
      <w:r w:rsidRPr="00D52B7F">
        <w:rPr>
          <w:lang w:val="en-GB"/>
        </w:rPr>
        <w:t xml:space="preserve">Existing TCI state switching test cases are only defined for MAC-CE and RRC based switch for PDCCH. Taking into account that neither of these apply for s-DCI mode, test cases need to be defined also for PDSCH. Since there are no test cases for active TCI state list update or DCI-based TCI state switch in the existing specification, new type of test case needs to be defined. As defining a test case for active TCI state list update would be difficult to verify alone, we propose to define a test case where the UE has to complete active TCI state list update </w:t>
      </w:r>
      <w:r w:rsidR="00EB2B25" w:rsidRPr="00D52B7F">
        <w:rPr>
          <w:lang w:val="en-GB"/>
        </w:rPr>
        <w:t xml:space="preserve">with dual TCI states </w:t>
      </w:r>
      <w:r w:rsidRPr="00D52B7F">
        <w:rPr>
          <w:lang w:val="en-GB"/>
        </w:rPr>
        <w:t xml:space="preserve">and after the defined delay for this, complete DCI-based TCI state switch </w:t>
      </w:r>
      <w:r w:rsidR="00EB2B25" w:rsidRPr="00D52B7F">
        <w:rPr>
          <w:lang w:val="en-GB"/>
        </w:rPr>
        <w:t xml:space="preserve">to these dual TCI states </w:t>
      </w:r>
      <w:r w:rsidRPr="00D52B7F">
        <w:rPr>
          <w:lang w:val="en-GB"/>
        </w:rPr>
        <w:t>within the defined delay. Such test case should be defined for both s-DCI and m-DCI. In the test case for s-DCI, the dual TCI states are activated and switched with the same MAC-CE and DCI, and for m-DCI the dual TCI states are activated and switched with separate MAC-CEs and DCIs.</w:t>
      </w:r>
    </w:p>
    <w:p w14:paraId="1A2BB03B" w14:textId="77777777" w:rsidR="00F13737" w:rsidRPr="00D52B7F" w:rsidRDefault="00F13737" w:rsidP="00D52B7F">
      <w:pPr>
        <w:pStyle w:val="RAN4proposal"/>
        <w:ind w:left="130"/>
      </w:pPr>
      <w:bookmarkStart w:id="14" w:name="_Toc159231763"/>
      <w:r w:rsidRPr="00D52B7F">
        <w:t>Define a combined test case for dual active TCI state list update and DCI-based TCI state switch for s-DCI and m-DCI.</w:t>
      </w:r>
      <w:bookmarkEnd w:id="14"/>
    </w:p>
    <w:p w14:paraId="6F31F10A" w14:textId="713B7BA1" w:rsidR="00B76A3D" w:rsidRPr="00D52B7F" w:rsidRDefault="00B76A3D" w:rsidP="00D52B7F">
      <w:pPr>
        <w:ind w:left="130"/>
      </w:pPr>
      <w:r w:rsidRPr="00D52B7F">
        <w:t>As an example, the test case can be realized as shown in Figure 2 for s-DCI. For m-DCI the test case would consist of two TCI state activation MAC-CEs and two DCIs.</w:t>
      </w:r>
    </w:p>
    <w:p w14:paraId="55CB6C71" w14:textId="77777777" w:rsidR="008260A8" w:rsidRPr="00D52B7F" w:rsidRDefault="008260A8" w:rsidP="00D52B7F">
      <w:pPr>
        <w:keepNext/>
        <w:jc w:val="center"/>
      </w:pPr>
      <w:r w:rsidRPr="00D52B7F">
        <w:rPr>
          <w:noProof/>
        </w:rPr>
        <w:lastRenderedPageBreak/>
        <w:drawing>
          <wp:inline distT="0" distB="0" distL="0" distR="0" wp14:anchorId="09539979" wp14:editId="4F5E9B90">
            <wp:extent cx="4614211" cy="2367915"/>
            <wp:effectExtent l="0" t="0" r="0" b="0"/>
            <wp:docPr id="1225922795" name="Picture 1225922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37103" cy="2379663"/>
                    </a:xfrm>
                    <a:prstGeom prst="rect">
                      <a:avLst/>
                    </a:prstGeom>
                    <a:noFill/>
                  </pic:spPr>
                </pic:pic>
              </a:graphicData>
            </a:graphic>
          </wp:inline>
        </w:drawing>
      </w:r>
    </w:p>
    <w:p w14:paraId="6D670FFE" w14:textId="38C82498" w:rsidR="008260A8" w:rsidRPr="008260A8" w:rsidRDefault="008260A8" w:rsidP="00D52B7F">
      <w:pPr>
        <w:pStyle w:val="Caption"/>
      </w:pPr>
      <w:r w:rsidRPr="00D52B7F">
        <w:t xml:space="preserve">Figure </w:t>
      </w:r>
      <w:r w:rsidR="00B76A3D" w:rsidRPr="00D52B7F">
        <w:t>2</w:t>
      </w:r>
      <w:r w:rsidRPr="00D52B7F">
        <w:t xml:space="preserve">: PDSCH </w:t>
      </w:r>
      <w:r w:rsidR="00DB326C" w:rsidRPr="00D52B7F">
        <w:t xml:space="preserve">dual TCI state </w:t>
      </w:r>
      <w:r w:rsidR="00942D01" w:rsidRPr="00D52B7F">
        <w:t>activation</w:t>
      </w:r>
      <w:r w:rsidR="007A6744" w:rsidRPr="00D52B7F">
        <w:t xml:space="preserve"> and indication test case example for s-DCI.</w:t>
      </w:r>
    </w:p>
    <w:p w14:paraId="136E5A20" w14:textId="32C64BDB" w:rsidR="0010792E" w:rsidRDefault="00315F3E" w:rsidP="0010792E">
      <w:pPr>
        <w:pStyle w:val="RAN4H1"/>
      </w:pPr>
      <w:r>
        <w:t xml:space="preserve"> </w:t>
      </w:r>
      <w:r w:rsidR="0010792E">
        <w:t>List of test cases</w:t>
      </w:r>
    </w:p>
    <w:p w14:paraId="0B6EE357" w14:textId="5C140660" w:rsidR="006228B0" w:rsidRDefault="006228B0" w:rsidP="00D52B7F">
      <w:pPr>
        <w:rPr>
          <w:lang w:val="en-GB"/>
        </w:rPr>
      </w:pPr>
      <w:r>
        <w:rPr>
          <w:lang w:val="en-GB"/>
        </w:rPr>
        <w:t>Summarizing the proposals in this contribution, we propose the following test case list to verify the Rel-18 multi-Rx</w:t>
      </w:r>
      <w:r w:rsidR="002F6A1D">
        <w:rPr>
          <w:lang w:val="en-GB"/>
        </w:rPr>
        <w:t xml:space="preserve"> requirements:</w:t>
      </w:r>
    </w:p>
    <w:p w14:paraId="14A95EAE" w14:textId="44378474" w:rsidR="001121FB" w:rsidRDefault="001121FB" w:rsidP="00D52B7F">
      <w:pPr>
        <w:pStyle w:val="RAN4proposal"/>
        <w:rPr>
          <w:lang w:val="en-GB"/>
        </w:rPr>
      </w:pPr>
      <w:bookmarkStart w:id="15" w:name="_Toc159231764"/>
      <w:r>
        <w:rPr>
          <w:lang w:val="en-GB"/>
        </w:rPr>
        <w:t xml:space="preserve">RAN4 to consider the following test case list for </w:t>
      </w:r>
      <w:r w:rsidR="00831EFA">
        <w:rPr>
          <w:lang w:val="en-GB"/>
        </w:rPr>
        <w:t>Rel-18 multi-Rx</w:t>
      </w:r>
      <w:r w:rsidR="0016551F">
        <w:rPr>
          <w:lang w:val="en-GB"/>
        </w:rPr>
        <w:t xml:space="preserve"> performance part:</w:t>
      </w:r>
      <w:bookmarkEnd w:id="15"/>
    </w:p>
    <w:tbl>
      <w:tblPr>
        <w:tblW w:w="9115" w:type="dxa"/>
        <w:tblInd w:w="720" w:type="dxa"/>
        <w:tblLook w:val="04A0" w:firstRow="1" w:lastRow="0" w:firstColumn="1" w:lastColumn="0" w:noHBand="0" w:noVBand="1"/>
      </w:tblPr>
      <w:tblGrid>
        <w:gridCol w:w="2203"/>
        <w:gridCol w:w="1124"/>
        <w:gridCol w:w="3614"/>
        <w:gridCol w:w="2174"/>
      </w:tblGrid>
      <w:tr w:rsidR="00A64430" w:rsidRPr="00A64430" w14:paraId="4A7C5457" w14:textId="77777777" w:rsidTr="00E22D4E">
        <w:trPr>
          <w:trHeight w:val="300"/>
        </w:trPr>
        <w:tc>
          <w:tcPr>
            <w:tcW w:w="2203" w:type="dxa"/>
            <w:tcBorders>
              <w:top w:val="single" w:sz="4" w:space="0" w:color="auto"/>
              <w:left w:val="single" w:sz="4" w:space="0" w:color="auto"/>
              <w:bottom w:val="single" w:sz="4" w:space="0" w:color="auto"/>
              <w:right w:val="single" w:sz="4" w:space="0" w:color="auto"/>
            </w:tcBorders>
            <w:shd w:val="clear" w:color="auto" w:fill="auto"/>
            <w:hideMark/>
          </w:tcPr>
          <w:p w14:paraId="779B16BE" w14:textId="77777777" w:rsidR="00A64430" w:rsidRPr="00EE44BD" w:rsidRDefault="00A64430" w:rsidP="007C07EC">
            <w:pPr>
              <w:spacing w:after="0" w:line="240" w:lineRule="auto"/>
              <w:rPr>
                <w:rFonts w:eastAsia="Times New Roman" w:cs="Times New Roman"/>
                <w:b/>
                <w:color w:val="000000"/>
                <w:szCs w:val="20"/>
              </w:rPr>
            </w:pPr>
            <w:r w:rsidRPr="00EE44BD">
              <w:rPr>
                <w:rFonts w:eastAsia="Times New Roman" w:cs="Times New Roman"/>
                <w:b/>
                <w:color w:val="000000"/>
                <w:szCs w:val="20"/>
              </w:rPr>
              <w:t>Requirement</w:t>
            </w:r>
          </w:p>
        </w:tc>
        <w:tc>
          <w:tcPr>
            <w:tcW w:w="1124" w:type="dxa"/>
            <w:tcBorders>
              <w:top w:val="single" w:sz="4" w:space="0" w:color="auto"/>
              <w:left w:val="nil"/>
              <w:bottom w:val="single" w:sz="4" w:space="0" w:color="auto"/>
              <w:right w:val="single" w:sz="4" w:space="0" w:color="auto"/>
            </w:tcBorders>
            <w:shd w:val="clear" w:color="auto" w:fill="auto"/>
            <w:hideMark/>
          </w:tcPr>
          <w:p w14:paraId="13C46B8A" w14:textId="77777777" w:rsidR="00A64430" w:rsidRPr="00EE44BD" w:rsidRDefault="00A64430" w:rsidP="007C07EC">
            <w:pPr>
              <w:spacing w:after="0" w:line="240" w:lineRule="auto"/>
              <w:rPr>
                <w:rFonts w:eastAsia="Times New Roman" w:cs="Times New Roman"/>
                <w:b/>
                <w:color w:val="000000"/>
                <w:szCs w:val="20"/>
              </w:rPr>
            </w:pPr>
            <w:r w:rsidRPr="00EE44BD">
              <w:rPr>
                <w:rFonts w:eastAsia="Times New Roman" w:cs="Times New Roman"/>
                <w:b/>
                <w:color w:val="000000"/>
                <w:szCs w:val="20"/>
              </w:rPr>
              <w:t>Mode</w:t>
            </w:r>
          </w:p>
        </w:tc>
        <w:tc>
          <w:tcPr>
            <w:tcW w:w="5788" w:type="dxa"/>
            <w:gridSpan w:val="2"/>
            <w:tcBorders>
              <w:top w:val="single" w:sz="4" w:space="0" w:color="auto"/>
              <w:left w:val="nil"/>
              <w:bottom w:val="single" w:sz="4" w:space="0" w:color="auto"/>
              <w:right w:val="single" w:sz="4" w:space="0" w:color="auto"/>
            </w:tcBorders>
            <w:shd w:val="clear" w:color="auto" w:fill="auto"/>
            <w:hideMark/>
          </w:tcPr>
          <w:p w14:paraId="715E51FD" w14:textId="77777777" w:rsidR="00A64430" w:rsidRPr="00EE44BD" w:rsidRDefault="00A64430" w:rsidP="007C07EC">
            <w:pPr>
              <w:spacing w:after="0" w:line="240" w:lineRule="auto"/>
              <w:rPr>
                <w:rFonts w:eastAsia="Times New Roman" w:cs="Times New Roman"/>
                <w:b/>
                <w:color w:val="000000"/>
                <w:szCs w:val="20"/>
              </w:rPr>
            </w:pPr>
            <w:r w:rsidRPr="00EE44BD">
              <w:rPr>
                <w:rFonts w:eastAsia="Times New Roman" w:cs="Times New Roman"/>
                <w:b/>
                <w:color w:val="000000"/>
                <w:szCs w:val="20"/>
              </w:rPr>
              <w:t>Description</w:t>
            </w:r>
          </w:p>
        </w:tc>
      </w:tr>
      <w:tr w:rsidR="0078594B" w:rsidRPr="00A64430" w14:paraId="02DD0EDC" w14:textId="77777777" w:rsidTr="00E22D4E">
        <w:trPr>
          <w:trHeight w:val="900"/>
        </w:trPr>
        <w:tc>
          <w:tcPr>
            <w:tcW w:w="2203" w:type="dxa"/>
            <w:vMerge w:val="restart"/>
            <w:tcBorders>
              <w:top w:val="nil"/>
              <w:left w:val="single" w:sz="4" w:space="0" w:color="auto"/>
              <w:bottom w:val="single" w:sz="4" w:space="0" w:color="auto"/>
              <w:right w:val="single" w:sz="4" w:space="0" w:color="auto"/>
            </w:tcBorders>
            <w:shd w:val="clear" w:color="auto" w:fill="auto"/>
            <w:hideMark/>
          </w:tcPr>
          <w:p w14:paraId="4BA1EA0D" w14:textId="77777777" w:rsidR="0078594B" w:rsidRPr="00EE44BD" w:rsidRDefault="0078594B" w:rsidP="007C07EC">
            <w:pPr>
              <w:spacing w:after="0" w:line="240" w:lineRule="auto"/>
              <w:rPr>
                <w:rFonts w:eastAsia="Times New Roman" w:cs="Times New Roman"/>
                <w:color w:val="000000"/>
                <w:szCs w:val="20"/>
              </w:rPr>
            </w:pPr>
            <w:r w:rsidRPr="00EE44BD">
              <w:rPr>
                <w:rFonts w:eastAsia="Times New Roman" w:cs="Times New Roman"/>
                <w:color w:val="000000"/>
                <w:szCs w:val="20"/>
              </w:rPr>
              <w:t>MAC-CE based switch</w:t>
            </w:r>
          </w:p>
        </w:tc>
        <w:tc>
          <w:tcPr>
            <w:tcW w:w="1124" w:type="dxa"/>
            <w:tcBorders>
              <w:top w:val="nil"/>
              <w:left w:val="single" w:sz="4" w:space="0" w:color="auto"/>
              <w:bottom w:val="single" w:sz="4" w:space="0" w:color="auto"/>
              <w:right w:val="single" w:sz="4" w:space="0" w:color="auto"/>
            </w:tcBorders>
            <w:shd w:val="clear" w:color="auto" w:fill="auto"/>
            <w:hideMark/>
          </w:tcPr>
          <w:p w14:paraId="1D9CDA2E" w14:textId="77777777" w:rsidR="0078594B" w:rsidRPr="00EE44BD" w:rsidRDefault="0078594B" w:rsidP="007C07EC">
            <w:pPr>
              <w:spacing w:after="0" w:line="240" w:lineRule="auto"/>
              <w:rPr>
                <w:rFonts w:eastAsia="Times New Roman" w:cs="Times New Roman"/>
                <w:color w:val="000000"/>
                <w:szCs w:val="20"/>
              </w:rPr>
            </w:pPr>
            <w:r w:rsidRPr="00EE44BD">
              <w:rPr>
                <w:rFonts w:eastAsia="Times New Roman" w:cs="Times New Roman"/>
                <w:color w:val="000000"/>
                <w:szCs w:val="20"/>
              </w:rPr>
              <w:t>PDCCH repetition</w:t>
            </w:r>
          </w:p>
        </w:tc>
        <w:tc>
          <w:tcPr>
            <w:tcW w:w="3614" w:type="dxa"/>
            <w:tcBorders>
              <w:top w:val="single" w:sz="4" w:space="0" w:color="auto"/>
              <w:left w:val="single" w:sz="4" w:space="0" w:color="auto"/>
              <w:bottom w:val="single" w:sz="4" w:space="0" w:color="auto"/>
              <w:right w:val="single" w:sz="4" w:space="0" w:color="auto"/>
            </w:tcBorders>
            <w:shd w:val="clear" w:color="auto" w:fill="auto"/>
            <w:hideMark/>
          </w:tcPr>
          <w:p w14:paraId="256AC7F1" w14:textId="77777777" w:rsidR="0078594B" w:rsidRPr="00EE44BD" w:rsidRDefault="0078594B" w:rsidP="007C07EC">
            <w:pPr>
              <w:spacing w:after="0" w:line="240" w:lineRule="auto"/>
              <w:rPr>
                <w:rFonts w:eastAsia="Times New Roman" w:cs="Times New Roman"/>
                <w:color w:val="000000"/>
                <w:szCs w:val="20"/>
              </w:rPr>
            </w:pPr>
            <w:r w:rsidRPr="00EE44BD">
              <w:rPr>
                <w:rFonts w:eastAsia="Times New Roman" w:cs="Times New Roman"/>
                <w:color w:val="000000"/>
                <w:szCs w:val="20"/>
              </w:rPr>
              <w:t>Send MAC-CE for both QCL Type D in the same slot. UE to complete the switch within the delay.</w:t>
            </w:r>
          </w:p>
        </w:tc>
        <w:tc>
          <w:tcPr>
            <w:tcW w:w="2174" w:type="dxa"/>
            <w:tcBorders>
              <w:top w:val="single" w:sz="4" w:space="0" w:color="auto"/>
              <w:left w:val="nil"/>
              <w:bottom w:val="single" w:sz="4" w:space="0" w:color="auto"/>
              <w:right w:val="single" w:sz="4" w:space="0" w:color="auto"/>
            </w:tcBorders>
            <w:shd w:val="clear" w:color="auto" w:fill="auto"/>
            <w:hideMark/>
          </w:tcPr>
          <w:p w14:paraId="0C8528FE" w14:textId="41BDFCA6" w:rsidR="0078594B" w:rsidRPr="00EE44BD" w:rsidRDefault="0078594B" w:rsidP="00EE44BD">
            <w:pPr>
              <w:pStyle w:val="ListParagraph"/>
              <w:numPr>
                <w:ilvl w:val="0"/>
                <w:numId w:val="52"/>
              </w:numPr>
              <w:spacing w:after="0" w:line="240" w:lineRule="auto"/>
              <w:rPr>
                <w:rFonts w:eastAsia="Times New Roman" w:cs="Times New Roman"/>
                <w:color w:val="000000"/>
                <w:szCs w:val="20"/>
              </w:rPr>
            </w:pPr>
            <w:r w:rsidRPr="00EE44BD">
              <w:rPr>
                <w:rFonts w:eastAsia="Times New Roman" w:cs="Times New Roman"/>
                <w:color w:val="000000"/>
                <w:szCs w:val="20"/>
              </w:rPr>
              <w:t>Dual to dual</w:t>
            </w:r>
          </w:p>
        </w:tc>
      </w:tr>
      <w:tr w:rsidR="0078594B" w:rsidRPr="00A64430" w14:paraId="07379A88" w14:textId="77777777" w:rsidTr="00E22D4E">
        <w:trPr>
          <w:trHeight w:val="1200"/>
        </w:trPr>
        <w:tc>
          <w:tcPr>
            <w:tcW w:w="2203" w:type="dxa"/>
            <w:vMerge/>
            <w:tcBorders>
              <w:top w:val="nil"/>
              <w:left w:val="single" w:sz="4" w:space="0" w:color="auto"/>
              <w:bottom w:val="single" w:sz="4" w:space="0" w:color="auto"/>
              <w:right w:val="single" w:sz="4" w:space="0" w:color="auto"/>
            </w:tcBorders>
            <w:hideMark/>
          </w:tcPr>
          <w:p w14:paraId="1C4C29DA" w14:textId="77777777" w:rsidR="0078594B" w:rsidRPr="00EE44BD" w:rsidRDefault="0078594B" w:rsidP="007C07EC">
            <w:pPr>
              <w:spacing w:after="0" w:line="240" w:lineRule="auto"/>
              <w:rPr>
                <w:rFonts w:eastAsia="Times New Roman" w:cs="Times New Roman"/>
                <w:color w:val="000000"/>
                <w:szCs w:val="20"/>
              </w:rPr>
            </w:pPr>
          </w:p>
        </w:tc>
        <w:tc>
          <w:tcPr>
            <w:tcW w:w="1124" w:type="dxa"/>
            <w:tcBorders>
              <w:top w:val="nil"/>
              <w:left w:val="single" w:sz="4" w:space="0" w:color="auto"/>
              <w:bottom w:val="single" w:sz="4" w:space="0" w:color="auto"/>
              <w:right w:val="single" w:sz="4" w:space="0" w:color="auto"/>
            </w:tcBorders>
            <w:shd w:val="clear" w:color="auto" w:fill="auto"/>
            <w:hideMark/>
          </w:tcPr>
          <w:p w14:paraId="30EE4BEA" w14:textId="77777777" w:rsidR="0078594B" w:rsidRPr="00EE44BD" w:rsidRDefault="0078594B" w:rsidP="007C07EC">
            <w:pPr>
              <w:spacing w:after="0" w:line="240" w:lineRule="auto"/>
              <w:rPr>
                <w:rFonts w:eastAsia="Times New Roman" w:cs="Times New Roman"/>
                <w:color w:val="000000"/>
                <w:szCs w:val="20"/>
              </w:rPr>
            </w:pPr>
            <w:r w:rsidRPr="00EE44BD">
              <w:rPr>
                <w:rFonts w:eastAsia="Times New Roman" w:cs="Times New Roman"/>
                <w:color w:val="000000"/>
                <w:szCs w:val="20"/>
              </w:rPr>
              <w:t>m-DCI</w:t>
            </w:r>
          </w:p>
        </w:tc>
        <w:tc>
          <w:tcPr>
            <w:tcW w:w="3614" w:type="dxa"/>
            <w:tcBorders>
              <w:top w:val="single" w:sz="4" w:space="0" w:color="auto"/>
              <w:left w:val="single" w:sz="4" w:space="0" w:color="auto"/>
              <w:bottom w:val="single" w:sz="4" w:space="0" w:color="auto"/>
              <w:right w:val="single" w:sz="4" w:space="0" w:color="auto"/>
            </w:tcBorders>
            <w:shd w:val="clear" w:color="auto" w:fill="auto"/>
            <w:hideMark/>
          </w:tcPr>
          <w:p w14:paraId="40E320EE" w14:textId="6168C27D" w:rsidR="0078594B" w:rsidRPr="00EE44BD" w:rsidRDefault="0078594B" w:rsidP="007C07EC">
            <w:pPr>
              <w:spacing w:after="0" w:line="240" w:lineRule="auto"/>
              <w:rPr>
                <w:rFonts w:eastAsia="Times New Roman" w:cs="Times New Roman"/>
                <w:color w:val="000000"/>
                <w:szCs w:val="20"/>
              </w:rPr>
            </w:pPr>
            <w:r w:rsidRPr="00EE44BD">
              <w:rPr>
                <w:rFonts w:eastAsia="Times New Roman" w:cs="Times New Roman"/>
                <w:color w:val="000000"/>
                <w:szCs w:val="20"/>
              </w:rPr>
              <w:t xml:space="preserve">Send MAC-CE for both QCL Type D in slots that are less than MAC-CE based switching delay apart from each other. UE to receive </w:t>
            </w:r>
            <w:r>
              <w:rPr>
                <w:rFonts w:eastAsia="Times New Roman" w:cs="Times New Roman"/>
                <w:color w:val="000000"/>
                <w:szCs w:val="20"/>
              </w:rPr>
              <w:t>with the target TCI states</w:t>
            </w:r>
            <w:r w:rsidRPr="00EE44BD">
              <w:rPr>
                <w:rFonts w:eastAsia="Times New Roman" w:cs="Times New Roman"/>
                <w:color w:val="000000"/>
                <w:szCs w:val="20"/>
              </w:rPr>
              <w:t xml:space="preserve"> after both switches are complete.</w:t>
            </w:r>
          </w:p>
        </w:tc>
        <w:tc>
          <w:tcPr>
            <w:tcW w:w="2174" w:type="dxa"/>
            <w:tcBorders>
              <w:top w:val="single" w:sz="4" w:space="0" w:color="auto"/>
              <w:left w:val="nil"/>
              <w:bottom w:val="single" w:sz="4" w:space="0" w:color="auto"/>
              <w:right w:val="single" w:sz="4" w:space="0" w:color="auto"/>
            </w:tcBorders>
            <w:shd w:val="clear" w:color="auto" w:fill="auto"/>
            <w:hideMark/>
          </w:tcPr>
          <w:p w14:paraId="64732AE4" w14:textId="172D09FE" w:rsidR="0078594B" w:rsidRPr="00EE44BD" w:rsidRDefault="0078594B" w:rsidP="00EE44BD">
            <w:pPr>
              <w:pStyle w:val="ListParagraph"/>
              <w:numPr>
                <w:ilvl w:val="0"/>
                <w:numId w:val="51"/>
              </w:numPr>
              <w:spacing w:after="0" w:line="240" w:lineRule="auto"/>
              <w:rPr>
                <w:rFonts w:eastAsia="Times New Roman" w:cs="Times New Roman"/>
                <w:color w:val="000000"/>
                <w:szCs w:val="20"/>
              </w:rPr>
            </w:pPr>
            <w:r w:rsidRPr="00EE44BD">
              <w:rPr>
                <w:rFonts w:eastAsia="Times New Roman" w:cs="Times New Roman"/>
                <w:color w:val="000000"/>
                <w:szCs w:val="20"/>
              </w:rPr>
              <w:t>Dual to dual</w:t>
            </w:r>
          </w:p>
        </w:tc>
      </w:tr>
      <w:tr w:rsidR="0078594B" w:rsidRPr="00A64430" w14:paraId="75D2D1EB" w14:textId="77777777" w:rsidTr="00E22D4E">
        <w:trPr>
          <w:trHeight w:val="900"/>
        </w:trPr>
        <w:tc>
          <w:tcPr>
            <w:tcW w:w="2203" w:type="dxa"/>
            <w:vMerge w:val="restart"/>
            <w:tcBorders>
              <w:top w:val="nil"/>
              <w:left w:val="single" w:sz="4" w:space="0" w:color="auto"/>
              <w:bottom w:val="single" w:sz="4" w:space="0" w:color="auto"/>
              <w:right w:val="single" w:sz="4" w:space="0" w:color="auto"/>
            </w:tcBorders>
            <w:shd w:val="clear" w:color="auto" w:fill="auto"/>
            <w:hideMark/>
          </w:tcPr>
          <w:p w14:paraId="68795BF4" w14:textId="77777777" w:rsidR="0078594B" w:rsidRPr="00EE44BD" w:rsidRDefault="0078594B" w:rsidP="007C07EC">
            <w:pPr>
              <w:spacing w:after="0" w:line="240" w:lineRule="auto"/>
              <w:rPr>
                <w:rFonts w:eastAsia="Times New Roman" w:cs="Times New Roman"/>
                <w:szCs w:val="20"/>
              </w:rPr>
            </w:pPr>
            <w:r w:rsidRPr="00EE44BD">
              <w:rPr>
                <w:rFonts w:eastAsia="Times New Roman" w:cs="Times New Roman"/>
                <w:szCs w:val="20"/>
              </w:rPr>
              <w:t>Active TCI state list update + DCI-based switch</w:t>
            </w:r>
          </w:p>
        </w:tc>
        <w:tc>
          <w:tcPr>
            <w:tcW w:w="1124" w:type="dxa"/>
            <w:tcBorders>
              <w:top w:val="nil"/>
              <w:left w:val="single" w:sz="4" w:space="0" w:color="auto"/>
              <w:bottom w:val="single" w:sz="4" w:space="0" w:color="auto"/>
              <w:right w:val="single" w:sz="4" w:space="0" w:color="auto"/>
            </w:tcBorders>
            <w:shd w:val="clear" w:color="auto" w:fill="auto"/>
            <w:hideMark/>
          </w:tcPr>
          <w:p w14:paraId="12C98F10" w14:textId="77777777" w:rsidR="0078594B" w:rsidRPr="00EE44BD" w:rsidRDefault="0078594B" w:rsidP="007C07EC">
            <w:pPr>
              <w:spacing w:after="0" w:line="240" w:lineRule="auto"/>
              <w:rPr>
                <w:rFonts w:eastAsia="Times New Roman" w:cs="Times New Roman"/>
                <w:szCs w:val="20"/>
              </w:rPr>
            </w:pPr>
            <w:r w:rsidRPr="00EE44BD">
              <w:rPr>
                <w:rFonts w:eastAsia="Times New Roman" w:cs="Times New Roman"/>
                <w:szCs w:val="20"/>
              </w:rPr>
              <w:t>s-DCI</w:t>
            </w:r>
          </w:p>
        </w:tc>
        <w:tc>
          <w:tcPr>
            <w:tcW w:w="3614" w:type="dxa"/>
            <w:tcBorders>
              <w:top w:val="single" w:sz="4" w:space="0" w:color="auto"/>
              <w:left w:val="single" w:sz="4" w:space="0" w:color="auto"/>
              <w:bottom w:val="single" w:sz="4" w:space="0" w:color="auto"/>
              <w:right w:val="single" w:sz="4" w:space="0" w:color="auto"/>
            </w:tcBorders>
            <w:shd w:val="clear" w:color="auto" w:fill="auto"/>
            <w:hideMark/>
          </w:tcPr>
          <w:p w14:paraId="5982101C" w14:textId="2B6FC43E" w:rsidR="0078594B" w:rsidRPr="00EE44BD" w:rsidRDefault="0078594B" w:rsidP="007C07EC">
            <w:pPr>
              <w:spacing w:after="0" w:line="240" w:lineRule="auto"/>
              <w:rPr>
                <w:rFonts w:eastAsia="Times New Roman" w:cs="Times New Roman"/>
                <w:szCs w:val="20"/>
              </w:rPr>
            </w:pPr>
            <w:r w:rsidRPr="00EE44BD">
              <w:rPr>
                <w:rFonts w:eastAsia="Times New Roman" w:cs="Times New Roman"/>
                <w:szCs w:val="20"/>
              </w:rPr>
              <w:t xml:space="preserve">Send one MAC-CE to activate </w:t>
            </w:r>
            <w:r w:rsidR="00D94B25" w:rsidRPr="00686835">
              <w:rPr>
                <w:rFonts w:eastAsia="Times New Roman" w:cs="Times New Roman"/>
                <w:szCs w:val="20"/>
              </w:rPr>
              <w:t>dual TCI states</w:t>
            </w:r>
            <w:r w:rsidRPr="00EE44BD">
              <w:rPr>
                <w:rFonts w:eastAsia="Times New Roman" w:cs="Times New Roman"/>
                <w:szCs w:val="20"/>
              </w:rPr>
              <w:t xml:space="preserve">, followed by DCI indicating </w:t>
            </w:r>
            <w:r w:rsidR="00D94B25" w:rsidRPr="00686835">
              <w:rPr>
                <w:rFonts w:eastAsia="Times New Roman" w:cs="Times New Roman"/>
                <w:szCs w:val="20"/>
              </w:rPr>
              <w:t>the codepoint with these TCI states</w:t>
            </w:r>
            <w:r w:rsidRPr="00EE44BD">
              <w:rPr>
                <w:rFonts w:eastAsia="Times New Roman" w:cs="Times New Roman"/>
                <w:szCs w:val="20"/>
              </w:rPr>
              <w:t>.</w:t>
            </w:r>
          </w:p>
        </w:tc>
        <w:tc>
          <w:tcPr>
            <w:tcW w:w="2174" w:type="dxa"/>
            <w:tcBorders>
              <w:top w:val="single" w:sz="4" w:space="0" w:color="auto"/>
              <w:left w:val="nil"/>
              <w:bottom w:val="single" w:sz="4" w:space="0" w:color="auto"/>
              <w:right w:val="single" w:sz="4" w:space="0" w:color="auto"/>
            </w:tcBorders>
            <w:shd w:val="clear" w:color="auto" w:fill="auto"/>
            <w:hideMark/>
          </w:tcPr>
          <w:p w14:paraId="7D441C62" w14:textId="555F72A5" w:rsidR="00AC70E0" w:rsidRPr="00EE44BD" w:rsidRDefault="00AC70E0" w:rsidP="00EE44BD">
            <w:pPr>
              <w:pStyle w:val="ListParagraph"/>
              <w:numPr>
                <w:ilvl w:val="0"/>
                <w:numId w:val="50"/>
              </w:numPr>
              <w:spacing w:after="0" w:line="240" w:lineRule="auto"/>
              <w:rPr>
                <w:rFonts w:eastAsia="Times New Roman" w:cs="Times New Roman"/>
                <w:szCs w:val="20"/>
              </w:rPr>
            </w:pPr>
            <w:r w:rsidRPr="00EE44BD">
              <w:rPr>
                <w:rFonts w:eastAsia="Times New Roman" w:cs="Times New Roman"/>
                <w:szCs w:val="20"/>
              </w:rPr>
              <w:t>Dual to single (where target TCI state is one of the source TCI states)</w:t>
            </w:r>
          </w:p>
          <w:p w14:paraId="6F88302D" w14:textId="0FF320F5" w:rsidR="0078594B" w:rsidRPr="00EE44BD" w:rsidRDefault="0078594B" w:rsidP="00EE44BD">
            <w:pPr>
              <w:pStyle w:val="ListParagraph"/>
              <w:numPr>
                <w:ilvl w:val="0"/>
                <w:numId w:val="50"/>
              </w:numPr>
              <w:spacing w:after="0" w:line="240" w:lineRule="auto"/>
              <w:rPr>
                <w:rFonts w:eastAsia="Times New Roman" w:cs="Times New Roman"/>
                <w:szCs w:val="20"/>
              </w:rPr>
            </w:pPr>
            <w:r w:rsidRPr="00EE44BD">
              <w:rPr>
                <w:rFonts w:eastAsia="Times New Roman" w:cs="Times New Roman"/>
                <w:szCs w:val="20"/>
              </w:rPr>
              <w:t>Single to dual</w:t>
            </w:r>
          </w:p>
          <w:p w14:paraId="6DB0DDF5" w14:textId="56AD2A5A" w:rsidR="0078594B" w:rsidRPr="00EE44BD" w:rsidRDefault="0078594B" w:rsidP="00EE44BD">
            <w:pPr>
              <w:pStyle w:val="ListParagraph"/>
              <w:numPr>
                <w:ilvl w:val="0"/>
                <w:numId w:val="50"/>
              </w:numPr>
              <w:spacing w:after="0" w:line="240" w:lineRule="auto"/>
              <w:rPr>
                <w:rFonts w:eastAsia="Times New Roman" w:cs="Times New Roman"/>
                <w:szCs w:val="20"/>
              </w:rPr>
            </w:pPr>
            <w:r w:rsidRPr="00EE44BD">
              <w:rPr>
                <w:rFonts w:eastAsia="Times New Roman" w:cs="Times New Roman"/>
                <w:szCs w:val="20"/>
              </w:rPr>
              <w:t>Dual to dual</w:t>
            </w:r>
          </w:p>
        </w:tc>
      </w:tr>
      <w:tr w:rsidR="0078594B" w:rsidRPr="00A64430" w14:paraId="3F20F806" w14:textId="77777777" w:rsidTr="00E22D4E">
        <w:trPr>
          <w:trHeight w:val="900"/>
        </w:trPr>
        <w:tc>
          <w:tcPr>
            <w:tcW w:w="2203" w:type="dxa"/>
            <w:vMerge/>
            <w:tcBorders>
              <w:top w:val="nil"/>
              <w:left w:val="single" w:sz="4" w:space="0" w:color="auto"/>
              <w:bottom w:val="single" w:sz="4" w:space="0" w:color="auto"/>
              <w:right w:val="single" w:sz="4" w:space="0" w:color="auto"/>
            </w:tcBorders>
            <w:hideMark/>
          </w:tcPr>
          <w:p w14:paraId="7E4DC118" w14:textId="77777777" w:rsidR="0078594B" w:rsidRPr="00EE44BD" w:rsidRDefault="0078594B" w:rsidP="007C07EC">
            <w:pPr>
              <w:spacing w:after="0" w:line="240" w:lineRule="auto"/>
              <w:rPr>
                <w:rFonts w:eastAsia="Times New Roman" w:cs="Times New Roman"/>
                <w:szCs w:val="20"/>
              </w:rPr>
            </w:pPr>
          </w:p>
        </w:tc>
        <w:tc>
          <w:tcPr>
            <w:tcW w:w="1124" w:type="dxa"/>
            <w:tcBorders>
              <w:top w:val="nil"/>
              <w:left w:val="single" w:sz="4" w:space="0" w:color="auto"/>
              <w:bottom w:val="single" w:sz="4" w:space="0" w:color="auto"/>
              <w:right w:val="single" w:sz="4" w:space="0" w:color="auto"/>
            </w:tcBorders>
            <w:shd w:val="clear" w:color="auto" w:fill="auto"/>
            <w:hideMark/>
          </w:tcPr>
          <w:p w14:paraId="07F5BFBE" w14:textId="77777777" w:rsidR="0078594B" w:rsidRPr="00EE44BD" w:rsidRDefault="0078594B" w:rsidP="007C07EC">
            <w:pPr>
              <w:spacing w:after="0" w:line="240" w:lineRule="auto"/>
              <w:rPr>
                <w:rFonts w:eastAsia="Times New Roman" w:cs="Times New Roman"/>
                <w:szCs w:val="20"/>
              </w:rPr>
            </w:pPr>
            <w:r w:rsidRPr="00EE44BD">
              <w:rPr>
                <w:rFonts w:eastAsia="Times New Roman" w:cs="Times New Roman"/>
                <w:szCs w:val="20"/>
              </w:rPr>
              <w:t>m-DCI</w:t>
            </w:r>
          </w:p>
        </w:tc>
        <w:tc>
          <w:tcPr>
            <w:tcW w:w="3614" w:type="dxa"/>
            <w:tcBorders>
              <w:top w:val="single" w:sz="4" w:space="0" w:color="auto"/>
              <w:left w:val="single" w:sz="4" w:space="0" w:color="auto"/>
              <w:bottom w:val="single" w:sz="4" w:space="0" w:color="auto"/>
              <w:right w:val="single" w:sz="4" w:space="0" w:color="auto"/>
            </w:tcBorders>
            <w:shd w:val="clear" w:color="auto" w:fill="auto"/>
            <w:hideMark/>
          </w:tcPr>
          <w:p w14:paraId="79C97F9C" w14:textId="06F14225" w:rsidR="0078594B" w:rsidRPr="00EE44BD" w:rsidRDefault="0078594B" w:rsidP="007C07EC">
            <w:pPr>
              <w:spacing w:after="0" w:line="240" w:lineRule="auto"/>
              <w:rPr>
                <w:rFonts w:eastAsia="Times New Roman" w:cs="Times New Roman"/>
                <w:szCs w:val="20"/>
              </w:rPr>
            </w:pPr>
            <w:r w:rsidRPr="00EE44BD">
              <w:rPr>
                <w:rFonts w:eastAsia="Times New Roman" w:cs="Times New Roman"/>
                <w:szCs w:val="20"/>
              </w:rPr>
              <w:t xml:space="preserve">Send two MAC-CEs to activate </w:t>
            </w:r>
            <w:r w:rsidR="002B7311" w:rsidRPr="00686835">
              <w:rPr>
                <w:rFonts w:eastAsia="Times New Roman" w:cs="Times New Roman"/>
                <w:szCs w:val="20"/>
              </w:rPr>
              <w:t>dual TCI states</w:t>
            </w:r>
            <w:r w:rsidRPr="00EE44BD">
              <w:rPr>
                <w:rFonts w:eastAsia="Times New Roman" w:cs="Times New Roman"/>
                <w:szCs w:val="20"/>
              </w:rPr>
              <w:t xml:space="preserve">, followed by two DCIs indicating </w:t>
            </w:r>
            <w:r w:rsidR="002B7311" w:rsidRPr="00686835">
              <w:rPr>
                <w:rFonts w:eastAsia="Times New Roman" w:cs="Times New Roman"/>
                <w:szCs w:val="20"/>
              </w:rPr>
              <w:t>the codepoints with these TCI states</w:t>
            </w:r>
            <w:r w:rsidRPr="00EE44BD">
              <w:rPr>
                <w:rFonts w:eastAsia="Times New Roman" w:cs="Times New Roman"/>
                <w:szCs w:val="20"/>
              </w:rPr>
              <w:t>.</w:t>
            </w:r>
          </w:p>
        </w:tc>
        <w:tc>
          <w:tcPr>
            <w:tcW w:w="2174" w:type="dxa"/>
            <w:tcBorders>
              <w:top w:val="single" w:sz="4" w:space="0" w:color="auto"/>
              <w:left w:val="nil"/>
              <w:bottom w:val="single" w:sz="4" w:space="0" w:color="auto"/>
              <w:right w:val="single" w:sz="4" w:space="0" w:color="auto"/>
            </w:tcBorders>
            <w:shd w:val="clear" w:color="auto" w:fill="auto"/>
            <w:hideMark/>
          </w:tcPr>
          <w:p w14:paraId="42318E97" w14:textId="6FE827E9" w:rsidR="0078594B" w:rsidRPr="00EE44BD" w:rsidRDefault="0078594B" w:rsidP="00EE44BD">
            <w:pPr>
              <w:pStyle w:val="ListParagraph"/>
              <w:numPr>
                <w:ilvl w:val="0"/>
                <w:numId w:val="49"/>
              </w:numPr>
              <w:spacing w:after="0" w:line="240" w:lineRule="auto"/>
              <w:rPr>
                <w:rFonts w:eastAsia="Times New Roman" w:cs="Times New Roman"/>
                <w:szCs w:val="20"/>
              </w:rPr>
            </w:pPr>
            <w:r w:rsidRPr="00EE44BD">
              <w:rPr>
                <w:rFonts w:eastAsia="Times New Roman" w:cs="Times New Roman"/>
                <w:szCs w:val="20"/>
              </w:rPr>
              <w:t>Dual to dual</w:t>
            </w:r>
          </w:p>
        </w:tc>
      </w:tr>
      <w:tr w:rsidR="00A64430" w:rsidRPr="00A64430" w14:paraId="65E5694B" w14:textId="77777777" w:rsidTr="00E22D4E">
        <w:trPr>
          <w:trHeight w:val="300"/>
        </w:trPr>
        <w:tc>
          <w:tcPr>
            <w:tcW w:w="2203" w:type="dxa"/>
            <w:vMerge w:val="restart"/>
            <w:tcBorders>
              <w:top w:val="nil"/>
              <w:left w:val="single" w:sz="4" w:space="0" w:color="auto"/>
              <w:bottom w:val="single" w:sz="4" w:space="0" w:color="auto"/>
              <w:right w:val="single" w:sz="4" w:space="0" w:color="auto"/>
            </w:tcBorders>
            <w:shd w:val="clear" w:color="auto" w:fill="auto"/>
            <w:hideMark/>
          </w:tcPr>
          <w:p w14:paraId="38216558" w14:textId="77777777" w:rsidR="00A64430" w:rsidRPr="00EE44BD" w:rsidRDefault="00A64430" w:rsidP="007C07EC">
            <w:pPr>
              <w:spacing w:after="0" w:line="240" w:lineRule="auto"/>
              <w:rPr>
                <w:rFonts w:eastAsia="Times New Roman" w:cs="Times New Roman"/>
                <w:szCs w:val="20"/>
              </w:rPr>
            </w:pPr>
            <w:r w:rsidRPr="00EE44BD">
              <w:rPr>
                <w:rFonts w:eastAsia="Times New Roman" w:cs="Times New Roman"/>
                <w:szCs w:val="20"/>
              </w:rPr>
              <w:t>RLM</w:t>
            </w:r>
          </w:p>
        </w:tc>
        <w:tc>
          <w:tcPr>
            <w:tcW w:w="1124" w:type="dxa"/>
            <w:vMerge w:val="restart"/>
            <w:tcBorders>
              <w:top w:val="nil"/>
              <w:left w:val="single" w:sz="4" w:space="0" w:color="auto"/>
              <w:bottom w:val="single" w:sz="4" w:space="0" w:color="auto"/>
              <w:right w:val="single" w:sz="4" w:space="0" w:color="auto"/>
            </w:tcBorders>
            <w:shd w:val="clear" w:color="auto" w:fill="auto"/>
            <w:hideMark/>
          </w:tcPr>
          <w:p w14:paraId="7439B184" w14:textId="77777777" w:rsidR="00A64430" w:rsidRPr="00EE44BD" w:rsidRDefault="00A64430" w:rsidP="007C07EC">
            <w:pPr>
              <w:spacing w:after="0" w:line="240" w:lineRule="auto"/>
              <w:rPr>
                <w:rFonts w:eastAsia="Times New Roman" w:cs="Times New Roman"/>
                <w:szCs w:val="20"/>
              </w:rPr>
            </w:pPr>
            <w:r w:rsidRPr="00EE44BD">
              <w:rPr>
                <w:rFonts w:eastAsia="Times New Roman" w:cs="Times New Roman"/>
                <w:szCs w:val="20"/>
              </w:rPr>
              <w:t>s-DCI</w:t>
            </w:r>
          </w:p>
        </w:tc>
        <w:tc>
          <w:tcPr>
            <w:tcW w:w="5788" w:type="dxa"/>
            <w:gridSpan w:val="2"/>
            <w:tcBorders>
              <w:top w:val="single" w:sz="4" w:space="0" w:color="auto"/>
              <w:left w:val="nil"/>
              <w:bottom w:val="single" w:sz="4" w:space="0" w:color="auto"/>
              <w:right w:val="single" w:sz="4" w:space="0" w:color="auto"/>
            </w:tcBorders>
            <w:shd w:val="clear" w:color="auto" w:fill="auto"/>
            <w:hideMark/>
          </w:tcPr>
          <w:p w14:paraId="645BF8E8" w14:textId="77777777" w:rsidR="00A64430" w:rsidRPr="00EE44BD" w:rsidRDefault="00A64430" w:rsidP="007C07EC">
            <w:pPr>
              <w:spacing w:after="0" w:line="240" w:lineRule="auto"/>
              <w:rPr>
                <w:rFonts w:eastAsia="Times New Roman" w:cs="Times New Roman"/>
                <w:szCs w:val="20"/>
              </w:rPr>
            </w:pPr>
            <w:r w:rsidRPr="00EE44BD">
              <w:rPr>
                <w:rFonts w:eastAsia="Times New Roman" w:cs="Times New Roman"/>
                <w:szCs w:val="20"/>
              </w:rPr>
              <w:t>Out-of-sync with reduced N (SSB-based, no DRX))</w:t>
            </w:r>
          </w:p>
        </w:tc>
      </w:tr>
      <w:tr w:rsidR="00A64430" w:rsidRPr="00A64430" w14:paraId="5DFE120B" w14:textId="77777777" w:rsidTr="00E22D4E">
        <w:trPr>
          <w:trHeight w:val="300"/>
        </w:trPr>
        <w:tc>
          <w:tcPr>
            <w:tcW w:w="2203" w:type="dxa"/>
            <w:vMerge/>
            <w:tcBorders>
              <w:top w:val="nil"/>
              <w:left w:val="single" w:sz="4" w:space="0" w:color="auto"/>
              <w:bottom w:val="single" w:sz="4" w:space="0" w:color="auto"/>
              <w:right w:val="single" w:sz="4" w:space="0" w:color="auto"/>
            </w:tcBorders>
            <w:hideMark/>
          </w:tcPr>
          <w:p w14:paraId="48EB803E" w14:textId="77777777" w:rsidR="00A64430" w:rsidRPr="00EE44BD" w:rsidRDefault="00A64430" w:rsidP="007C07EC">
            <w:pPr>
              <w:spacing w:after="0" w:line="240" w:lineRule="auto"/>
              <w:rPr>
                <w:rFonts w:eastAsia="Times New Roman" w:cs="Times New Roman"/>
                <w:szCs w:val="20"/>
              </w:rPr>
            </w:pPr>
          </w:p>
        </w:tc>
        <w:tc>
          <w:tcPr>
            <w:tcW w:w="1124" w:type="dxa"/>
            <w:vMerge/>
            <w:tcBorders>
              <w:top w:val="nil"/>
              <w:left w:val="single" w:sz="4" w:space="0" w:color="auto"/>
              <w:bottom w:val="single" w:sz="4" w:space="0" w:color="auto"/>
              <w:right w:val="single" w:sz="4" w:space="0" w:color="auto"/>
            </w:tcBorders>
            <w:hideMark/>
          </w:tcPr>
          <w:p w14:paraId="0DA39CB9" w14:textId="77777777" w:rsidR="00A64430" w:rsidRPr="00EE44BD" w:rsidRDefault="00A64430" w:rsidP="007C07EC">
            <w:pPr>
              <w:spacing w:after="0" w:line="240" w:lineRule="auto"/>
              <w:rPr>
                <w:rFonts w:eastAsia="Times New Roman" w:cs="Times New Roman"/>
                <w:szCs w:val="20"/>
              </w:rPr>
            </w:pPr>
          </w:p>
        </w:tc>
        <w:tc>
          <w:tcPr>
            <w:tcW w:w="5788" w:type="dxa"/>
            <w:gridSpan w:val="2"/>
            <w:tcBorders>
              <w:top w:val="single" w:sz="4" w:space="0" w:color="auto"/>
              <w:left w:val="nil"/>
              <w:bottom w:val="single" w:sz="4" w:space="0" w:color="auto"/>
              <w:right w:val="single" w:sz="4" w:space="0" w:color="auto"/>
            </w:tcBorders>
            <w:shd w:val="clear" w:color="auto" w:fill="auto"/>
            <w:hideMark/>
          </w:tcPr>
          <w:p w14:paraId="58C022A6" w14:textId="77777777" w:rsidR="00A64430" w:rsidRPr="00EE44BD" w:rsidRDefault="00A64430" w:rsidP="007C07EC">
            <w:pPr>
              <w:spacing w:after="0" w:line="240" w:lineRule="auto"/>
              <w:rPr>
                <w:rFonts w:eastAsia="Times New Roman" w:cs="Times New Roman"/>
                <w:szCs w:val="20"/>
              </w:rPr>
            </w:pPr>
            <w:r w:rsidRPr="00EE44BD">
              <w:rPr>
                <w:rFonts w:eastAsia="Times New Roman" w:cs="Times New Roman"/>
                <w:szCs w:val="20"/>
              </w:rPr>
              <w:t>In-sync with reduced N (SSB-based, no DRX)</w:t>
            </w:r>
          </w:p>
        </w:tc>
      </w:tr>
      <w:tr w:rsidR="00A64430" w:rsidRPr="00A64430" w14:paraId="6C68F571" w14:textId="77777777" w:rsidTr="00E22D4E">
        <w:trPr>
          <w:trHeight w:val="300"/>
        </w:trPr>
        <w:tc>
          <w:tcPr>
            <w:tcW w:w="2203" w:type="dxa"/>
            <w:vMerge/>
            <w:tcBorders>
              <w:top w:val="nil"/>
              <w:left w:val="single" w:sz="4" w:space="0" w:color="auto"/>
              <w:bottom w:val="single" w:sz="4" w:space="0" w:color="auto"/>
              <w:right w:val="single" w:sz="4" w:space="0" w:color="auto"/>
            </w:tcBorders>
            <w:hideMark/>
          </w:tcPr>
          <w:p w14:paraId="770724BB" w14:textId="77777777" w:rsidR="00A64430" w:rsidRPr="00EE44BD" w:rsidRDefault="00A64430" w:rsidP="007C07EC">
            <w:pPr>
              <w:spacing w:after="0" w:line="240" w:lineRule="auto"/>
              <w:rPr>
                <w:rFonts w:eastAsia="Times New Roman" w:cs="Times New Roman"/>
                <w:szCs w:val="20"/>
              </w:rPr>
            </w:pPr>
          </w:p>
        </w:tc>
        <w:tc>
          <w:tcPr>
            <w:tcW w:w="1124" w:type="dxa"/>
            <w:vMerge/>
            <w:tcBorders>
              <w:top w:val="nil"/>
              <w:left w:val="single" w:sz="4" w:space="0" w:color="auto"/>
              <w:bottom w:val="single" w:sz="4" w:space="0" w:color="auto"/>
              <w:right w:val="single" w:sz="4" w:space="0" w:color="auto"/>
            </w:tcBorders>
            <w:hideMark/>
          </w:tcPr>
          <w:p w14:paraId="681919FC" w14:textId="77777777" w:rsidR="00A64430" w:rsidRPr="00EE44BD" w:rsidRDefault="00A64430" w:rsidP="007C07EC">
            <w:pPr>
              <w:spacing w:after="0" w:line="240" w:lineRule="auto"/>
              <w:rPr>
                <w:rFonts w:eastAsia="Times New Roman" w:cs="Times New Roman"/>
                <w:szCs w:val="20"/>
              </w:rPr>
            </w:pPr>
          </w:p>
        </w:tc>
        <w:tc>
          <w:tcPr>
            <w:tcW w:w="5788" w:type="dxa"/>
            <w:gridSpan w:val="2"/>
            <w:tcBorders>
              <w:top w:val="single" w:sz="4" w:space="0" w:color="auto"/>
              <w:left w:val="nil"/>
              <w:bottom w:val="single" w:sz="4" w:space="0" w:color="auto"/>
              <w:right w:val="single" w:sz="4" w:space="0" w:color="auto"/>
            </w:tcBorders>
            <w:shd w:val="clear" w:color="auto" w:fill="auto"/>
            <w:hideMark/>
          </w:tcPr>
          <w:p w14:paraId="2606C2B9" w14:textId="77777777" w:rsidR="00A64430" w:rsidRPr="00EE44BD" w:rsidRDefault="00A64430" w:rsidP="007C07EC">
            <w:pPr>
              <w:spacing w:after="0" w:line="240" w:lineRule="auto"/>
              <w:rPr>
                <w:rFonts w:eastAsia="Times New Roman" w:cs="Times New Roman"/>
                <w:szCs w:val="20"/>
              </w:rPr>
            </w:pPr>
            <w:r w:rsidRPr="00EE44BD">
              <w:rPr>
                <w:rFonts w:eastAsia="Times New Roman" w:cs="Times New Roman"/>
                <w:szCs w:val="20"/>
              </w:rPr>
              <w:t>Scheduling restrictions (CSI-RS based)</w:t>
            </w:r>
          </w:p>
        </w:tc>
      </w:tr>
      <w:tr w:rsidR="00A64430" w:rsidRPr="00A64430" w14:paraId="74353226" w14:textId="77777777" w:rsidTr="00E22D4E">
        <w:trPr>
          <w:trHeight w:val="300"/>
        </w:trPr>
        <w:tc>
          <w:tcPr>
            <w:tcW w:w="2203" w:type="dxa"/>
            <w:vMerge/>
            <w:tcBorders>
              <w:top w:val="nil"/>
              <w:left w:val="single" w:sz="4" w:space="0" w:color="auto"/>
              <w:bottom w:val="single" w:sz="4" w:space="0" w:color="auto"/>
              <w:right w:val="single" w:sz="4" w:space="0" w:color="auto"/>
            </w:tcBorders>
            <w:hideMark/>
          </w:tcPr>
          <w:p w14:paraId="119CDFC6" w14:textId="77777777" w:rsidR="00A64430" w:rsidRPr="00EE44BD" w:rsidRDefault="00A64430" w:rsidP="007C07EC">
            <w:pPr>
              <w:spacing w:after="0" w:line="240" w:lineRule="auto"/>
              <w:rPr>
                <w:rFonts w:eastAsia="Times New Roman" w:cs="Times New Roman"/>
                <w:szCs w:val="20"/>
              </w:rPr>
            </w:pPr>
          </w:p>
        </w:tc>
        <w:tc>
          <w:tcPr>
            <w:tcW w:w="1124" w:type="dxa"/>
            <w:vMerge/>
            <w:tcBorders>
              <w:top w:val="nil"/>
              <w:left w:val="single" w:sz="4" w:space="0" w:color="auto"/>
              <w:bottom w:val="single" w:sz="4" w:space="0" w:color="auto"/>
              <w:right w:val="single" w:sz="4" w:space="0" w:color="auto"/>
            </w:tcBorders>
            <w:hideMark/>
          </w:tcPr>
          <w:p w14:paraId="4A415BD0" w14:textId="77777777" w:rsidR="00A64430" w:rsidRPr="00EE44BD" w:rsidRDefault="00A64430" w:rsidP="007C07EC">
            <w:pPr>
              <w:spacing w:after="0" w:line="240" w:lineRule="auto"/>
              <w:rPr>
                <w:rFonts w:eastAsia="Times New Roman" w:cs="Times New Roman"/>
                <w:szCs w:val="20"/>
              </w:rPr>
            </w:pPr>
          </w:p>
        </w:tc>
        <w:tc>
          <w:tcPr>
            <w:tcW w:w="5788" w:type="dxa"/>
            <w:gridSpan w:val="2"/>
            <w:tcBorders>
              <w:top w:val="single" w:sz="4" w:space="0" w:color="auto"/>
              <w:left w:val="nil"/>
              <w:bottom w:val="single" w:sz="4" w:space="0" w:color="auto"/>
              <w:right w:val="single" w:sz="4" w:space="0" w:color="auto"/>
            </w:tcBorders>
            <w:shd w:val="clear" w:color="auto" w:fill="auto"/>
            <w:hideMark/>
          </w:tcPr>
          <w:p w14:paraId="486C0CD5" w14:textId="77777777" w:rsidR="00A64430" w:rsidRPr="00EE44BD" w:rsidRDefault="00A64430" w:rsidP="007C07EC">
            <w:pPr>
              <w:spacing w:after="0" w:line="240" w:lineRule="auto"/>
              <w:rPr>
                <w:rFonts w:eastAsia="Times New Roman" w:cs="Times New Roman"/>
                <w:szCs w:val="20"/>
              </w:rPr>
            </w:pPr>
            <w:r w:rsidRPr="00EE44BD">
              <w:rPr>
                <w:rFonts w:eastAsia="Times New Roman" w:cs="Times New Roman"/>
                <w:szCs w:val="20"/>
              </w:rPr>
              <w:t>Measurement restrictions (CSI-RS based)</w:t>
            </w:r>
          </w:p>
        </w:tc>
      </w:tr>
      <w:tr w:rsidR="00A64430" w:rsidRPr="00A64430" w14:paraId="5817EC72" w14:textId="77777777" w:rsidTr="00E22D4E">
        <w:trPr>
          <w:trHeight w:val="300"/>
        </w:trPr>
        <w:tc>
          <w:tcPr>
            <w:tcW w:w="2203" w:type="dxa"/>
            <w:vMerge/>
            <w:tcBorders>
              <w:top w:val="nil"/>
              <w:left w:val="single" w:sz="4" w:space="0" w:color="auto"/>
              <w:bottom w:val="single" w:sz="4" w:space="0" w:color="auto"/>
              <w:right w:val="single" w:sz="4" w:space="0" w:color="auto"/>
            </w:tcBorders>
            <w:hideMark/>
          </w:tcPr>
          <w:p w14:paraId="37D1D5CA" w14:textId="77777777" w:rsidR="00A64430" w:rsidRPr="00EE44BD" w:rsidRDefault="00A64430" w:rsidP="007C07EC">
            <w:pPr>
              <w:spacing w:after="0" w:line="240" w:lineRule="auto"/>
              <w:rPr>
                <w:rFonts w:eastAsia="Times New Roman" w:cs="Times New Roman"/>
                <w:szCs w:val="20"/>
              </w:rPr>
            </w:pPr>
          </w:p>
        </w:tc>
        <w:tc>
          <w:tcPr>
            <w:tcW w:w="1124" w:type="dxa"/>
            <w:vMerge w:val="restart"/>
            <w:tcBorders>
              <w:top w:val="nil"/>
              <w:left w:val="single" w:sz="4" w:space="0" w:color="auto"/>
              <w:bottom w:val="single" w:sz="4" w:space="0" w:color="auto"/>
              <w:right w:val="single" w:sz="4" w:space="0" w:color="auto"/>
            </w:tcBorders>
            <w:shd w:val="clear" w:color="auto" w:fill="auto"/>
            <w:hideMark/>
          </w:tcPr>
          <w:p w14:paraId="08037523" w14:textId="77777777" w:rsidR="00A64430" w:rsidRPr="00EE44BD" w:rsidRDefault="00A64430" w:rsidP="007C07EC">
            <w:pPr>
              <w:spacing w:after="0" w:line="240" w:lineRule="auto"/>
              <w:rPr>
                <w:rFonts w:eastAsia="Times New Roman" w:cs="Times New Roman"/>
                <w:szCs w:val="20"/>
              </w:rPr>
            </w:pPr>
            <w:r w:rsidRPr="00EE44BD">
              <w:rPr>
                <w:rFonts w:eastAsia="Times New Roman" w:cs="Times New Roman"/>
                <w:szCs w:val="20"/>
              </w:rPr>
              <w:t>m-DCI</w:t>
            </w:r>
          </w:p>
        </w:tc>
        <w:tc>
          <w:tcPr>
            <w:tcW w:w="5788" w:type="dxa"/>
            <w:gridSpan w:val="2"/>
            <w:tcBorders>
              <w:top w:val="single" w:sz="4" w:space="0" w:color="auto"/>
              <w:left w:val="nil"/>
              <w:bottom w:val="single" w:sz="4" w:space="0" w:color="auto"/>
              <w:right w:val="single" w:sz="4" w:space="0" w:color="auto"/>
            </w:tcBorders>
            <w:shd w:val="clear" w:color="auto" w:fill="auto"/>
            <w:hideMark/>
          </w:tcPr>
          <w:p w14:paraId="07B16F86" w14:textId="77777777" w:rsidR="00A64430" w:rsidRPr="00EE44BD" w:rsidRDefault="00A64430" w:rsidP="007C07EC">
            <w:pPr>
              <w:spacing w:after="0" w:line="240" w:lineRule="auto"/>
              <w:rPr>
                <w:rFonts w:eastAsia="Times New Roman" w:cs="Times New Roman"/>
                <w:szCs w:val="20"/>
              </w:rPr>
            </w:pPr>
            <w:r w:rsidRPr="00EE44BD">
              <w:rPr>
                <w:rFonts w:eastAsia="Times New Roman" w:cs="Times New Roman"/>
                <w:szCs w:val="20"/>
              </w:rPr>
              <w:t>Out-of-sync with reduced N (SSB-based)</w:t>
            </w:r>
          </w:p>
        </w:tc>
      </w:tr>
      <w:tr w:rsidR="00A64430" w:rsidRPr="00A64430" w14:paraId="2DF6C6F4" w14:textId="77777777" w:rsidTr="00E22D4E">
        <w:trPr>
          <w:trHeight w:val="300"/>
        </w:trPr>
        <w:tc>
          <w:tcPr>
            <w:tcW w:w="2203" w:type="dxa"/>
            <w:vMerge/>
            <w:tcBorders>
              <w:top w:val="nil"/>
              <w:left w:val="single" w:sz="4" w:space="0" w:color="auto"/>
              <w:bottom w:val="single" w:sz="4" w:space="0" w:color="auto"/>
              <w:right w:val="single" w:sz="4" w:space="0" w:color="auto"/>
            </w:tcBorders>
            <w:hideMark/>
          </w:tcPr>
          <w:p w14:paraId="2D47E6B5" w14:textId="77777777" w:rsidR="00A64430" w:rsidRPr="00EE44BD" w:rsidRDefault="00A64430" w:rsidP="007C07EC">
            <w:pPr>
              <w:spacing w:after="0" w:line="240" w:lineRule="auto"/>
              <w:rPr>
                <w:rFonts w:eastAsia="Times New Roman" w:cs="Times New Roman"/>
                <w:szCs w:val="20"/>
              </w:rPr>
            </w:pPr>
          </w:p>
        </w:tc>
        <w:tc>
          <w:tcPr>
            <w:tcW w:w="1124" w:type="dxa"/>
            <w:vMerge/>
            <w:tcBorders>
              <w:top w:val="nil"/>
              <w:left w:val="single" w:sz="4" w:space="0" w:color="auto"/>
              <w:bottom w:val="single" w:sz="4" w:space="0" w:color="auto"/>
              <w:right w:val="single" w:sz="4" w:space="0" w:color="auto"/>
            </w:tcBorders>
            <w:hideMark/>
          </w:tcPr>
          <w:p w14:paraId="3A6A699F" w14:textId="77777777" w:rsidR="00A64430" w:rsidRPr="00EE44BD" w:rsidRDefault="00A64430" w:rsidP="007C07EC">
            <w:pPr>
              <w:spacing w:after="0" w:line="240" w:lineRule="auto"/>
              <w:rPr>
                <w:rFonts w:eastAsia="Times New Roman" w:cs="Times New Roman"/>
                <w:szCs w:val="20"/>
              </w:rPr>
            </w:pPr>
          </w:p>
        </w:tc>
        <w:tc>
          <w:tcPr>
            <w:tcW w:w="5788" w:type="dxa"/>
            <w:gridSpan w:val="2"/>
            <w:tcBorders>
              <w:top w:val="single" w:sz="4" w:space="0" w:color="auto"/>
              <w:left w:val="nil"/>
              <w:bottom w:val="single" w:sz="4" w:space="0" w:color="auto"/>
              <w:right w:val="single" w:sz="4" w:space="0" w:color="auto"/>
            </w:tcBorders>
            <w:shd w:val="clear" w:color="auto" w:fill="auto"/>
            <w:hideMark/>
          </w:tcPr>
          <w:p w14:paraId="1F62D7A0" w14:textId="77777777" w:rsidR="00A64430" w:rsidRPr="00EE44BD" w:rsidRDefault="00A64430" w:rsidP="007C07EC">
            <w:pPr>
              <w:spacing w:after="0" w:line="240" w:lineRule="auto"/>
              <w:rPr>
                <w:rFonts w:eastAsia="Times New Roman" w:cs="Times New Roman"/>
                <w:szCs w:val="20"/>
              </w:rPr>
            </w:pPr>
            <w:r w:rsidRPr="00EE44BD">
              <w:rPr>
                <w:rFonts w:eastAsia="Times New Roman" w:cs="Times New Roman"/>
                <w:szCs w:val="20"/>
              </w:rPr>
              <w:t>In-sync with reduced N (SSB-based)</w:t>
            </w:r>
          </w:p>
        </w:tc>
      </w:tr>
      <w:tr w:rsidR="00A64430" w:rsidRPr="00A64430" w14:paraId="2FF4682E" w14:textId="77777777" w:rsidTr="00E22D4E">
        <w:trPr>
          <w:trHeight w:val="300"/>
        </w:trPr>
        <w:tc>
          <w:tcPr>
            <w:tcW w:w="2203" w:type="dxa"/>
            <w:vMerge/>
            <w:tcBorders>
              <w:top w:val="nil"/>
              <w:left w:val="single" w:sz="4" w:space="0" w:color="auto"/>
              <w:bottom w:val="single" w:sz="4" w:space="0" w:color="auto"/>
              <w:right w:val="single" w:sz="4" w:space="0" w:color="auto"/>
            </w:tcBorders>
            <w:hideMark/>
          </w:tcPr>
          <w:p w14:paraId="6F3B5076" w14:textId="77777777" w:rsidR="00A64430" w:rsidRPr="00EE44BD" w:rsidRDefault="00A64430" w:rsidP="007C07EC">
            <w:pPr>
              <w:spacing w:after="0" w:line="240" w:lineRule="auto"/>
              <w:rPr>
                <w:rFonts w:eastAsia="Times New Roman" w:cs="Times New Roman"/>
                <w:szCs w:val="20"/>
              </w:rPr>
            </w:pPr>
          </w:p>
        </w:tc>
        <w:tc>
          <w:tcPr>
            <w:tcW w:w="1124" w:type="dxa"/>
            <w:vMerge/>
            <w:tcBorders>
              <w:top w:val="nil"/>
              <w:left w:val="single" w:sz="4" w:space="0" w:color="auto"/>
              <w:bottom w:val="single" w:sz="4" w:space="0" w:color="auto"/>
              <w:right w:val="single" w:sz="4" w:space="0" w:color="auto"/>
            </w:tcBorders>
            <w:hideMark/>
          </w:tcPr>
          <w:p w14:paraId="518AA631" w14:textId="77777777" w:rsidR="00A64430" w:rsidRPr="00EE44BD" w:rsidRDefault="00A64430" w:rsidP="007C07EC">
            <w:pPr>
              <w:spacing w:after="0" w:line="240" w:lineRule="auto"/>
              <w:rPr>
                <w:rFonts w:eastAsia="Times New Roman" w:cs="Times New Roman"/>
                <w:szCs w:val="20"/>
              </w:rPr>
            </w:pPr>
          </w:p>
        </w:tc>
        <w:tc>
          <w:tcPr>
            <w:tcW w:w="5788" w:type="dxa"/>
            <w:gridSpan w:val="2"/>
            <w:tcBorders>
              <w:top w:val="single" w:sz="4" w:space="0" w:color="auto"/>
              <w:left w:val="nil"/>
              <w:bottom w:val="single" w:sz="4" w:space="0" w:color="auto"/>
              <w:right w:val="single" w:sz="4" w:space="0" w:color="auto"/>
            </w:tcBorders>
            <w:shd w:val="clear" w:color="auto" w:fill="auto"/>
            <w:hideMark/>
          </w:tcPr>
          <w:p w14:paraId="4F169239" w14:textId="77777777" w:rsidR="00A64430" w:rsidRPr="00EE44BD" w:rsidRDefault="00A64430" w:rsidP="007C07EC">
            <w:pPr>
              <w:spacing w:after="0" w:line="240" w:lineRule="auto"/>
              <w:rPr>
                <w:rFonts w:eastAsia="Times New Roman" w:cs="Times New Roman"/>
                <w:szCs w:val="20"/>
              </w:rPr>
            </w:pPr>
            <w:r w:rsidRPr="00EE44BD">
              <w:rPr>
                <w:rFonts w:eastAsia="Times New Roman" w:cs="Times New Roman"/>
                <w:szCs w:val="20"/>
              </w:rPr>
              <w:t>Scheduling restrictions (CSI-RS based)</w:t>
            </w:r>
          </w:p>
        </w:tc>
      </w:tr>
      <w:tr w:rsidR="00A64430" w:rsidRPr="00A64430" w14:paraId="237560A2" w14:textId="77777777" w:rsidTr="00E22D4E">
        <w:trPr>
          <w:trHeight w:val="300"/>
        </w:trPr>
        <w:tc>
          <w:tcPr>
            <w:tcW w:w="2203" w:type="dxa"/>
            <w:vMerge/>
            <w:tcBorders>
              <w:top w:val="nil"/>
              <w:left w:val="single" w:sz="4" w:space="0" w:color="auto"/>
              <w:bottom w:val="single" w:sz="4" w:space="0" w:color="auto"/>
              <w:right w:val="single" w:sz="4" w:space="0" w:color="auto"/>
            </w:tcBorders>
            <w:hideMark/>
          </w:tcPr>
          <w:p w14:paraId="4E4D6D86" w14:textId="77777777" w:rsidR="00A64430" w:rsidRPr="00EE44BD" w:rsidRDefault="00A64430" w:rsidP="007C07EC">
            <w:pPr>
              <w:spacing w:after="0" w:line="240" w:lineRule="auto"/>
              <w:rPr>
                <w:rFonts w:eastAsia="Times New Roman" w:cs="Times New Roman"/>
                <w:szCs w:val="20"/>
              </w:rPr>
            </w:pPr>
          </w:p>
        </w:tc>
        <w:tc>
          <w:tcPr>
            <w:tcW w:w="1124" w:type="dxa"/>
            <w:vMerge/>
            <w:tcBorders>
              <w:top w:val="nil"/>
              <w:left w:val="single" w:sz="4" w:space="0" w:color="auto"/>
              <w:bottom w:val="single" w:sz="4" w:space="0" w:color="auto"/>
              <w:right w:val="single" w:sz="4" w:space="0" w:color="auto"/>
            </w:tcBorders>
            <w:hideMark/>
          </w:tcPr>
          <w:p w14:paraId="0B6F8C18" w14:textId="77777777" w:rsidR="00A64430" w:rsidRPr="00EE44BD" w:rsidRDefault="00A64430" w:rsidP="007C07EC">
            <w:pPr>
              <w:spacing w:after="0" w:line="240" w:lineRule="auto"/>
              <w:rPr>
                <w:rFonts w:eastAsia="Times New Roman" w:cs="Times New Roman"/>
                <w:szCs w:val="20"/>
              </w:rPr>
            </w:pPr>
          </w:p>
        </w:tc>
        <w:tc>
          <w:tcPr>
            <w:tcW w:w="5788" w:type="dxa"/>
            <w:gridSpan w:val="2"/>
            <w:tcBorders>
              <w:top w:val="single" w:sz="4" w:space="0" w:color="auto"/>
              <w:left w:val="nil"/>
              <w:bottom w:val="single" w:sz="4" w:space="0" w:color="auto"/>
              <w:right w:val="single" w:sz="4" w:space="0" w:color="auto"/>
            </w:tcBorders>
            <w:shd w:val="clear" w:color="auto" w:fill="auto"/>
            <w:hideMark/>
          </w:tcPr>
          <w:p w14:paraId="515E2319" w14:textId="77777777" w:rsidR="00A64430" w:rsidRPr="00EE44BD" w:rsidRDefault="00A64430" w:rsidP="007C07EC">
            <w:pPr>
              <w:spacing w:after="0" w:line="240" w:lineRule="auto"/>
              <w:rPr>
                <w:rFonts w:eastAsia="Times New Roman" w:cs="Times New Roman"/>
                <w:szCs w:val="20"/>
              </w:rPr>
            </w:pPr>
            <w:r w:rsidRPr="00EE44BD">
              <w:rPr>
                <w:rFonts w:eastAsia="Times New Roman" w:cs="Times New Roman"/>
                <w:szCs w:val="20"/>
              </w:rPr>
              <w:t>Measurement restrictions (CSI-RS based)</w:t>
            </w:r>
          </w:p>
        </w:tc>
      </w:tr>
      <w:tr w:rsidR="00A64430" w:rsidRPr="00A64430" w14:paraId="588A4B6B" w14:textId="77777777" w:rsidTr="00E22D4E">
        <w:trPr>
          <w:trHeight w:val="300"/>
        </w:trPr>
        <w:tc>
          <w:tcPr>
            <w:tcW w:w="2203" w:type="dxa"/>
            <w:vMerge w:val="restart"/>
            <w:tcBorders>
              <w:top w:val="nil"/>
              <w:left w:val="single" w:sz="4" w:space="0" w:color="auto"/>
              <w:bottom w:val="single" w:sz="4" w:space="0" w:color="000000"/>
              <w:right w:val="single" w:sz="4" w:space="0" w:color="auto"/>
            </w:tcBorders>
            <w:shd w:val="clear" w:color="auto" w:fill="auto"/>
            <w:hideMark/>
          </w:tcPr>
          <w:p w14:paraId="6908E590" w14:textId="77777777" w:rsidR="00A64430" w:rsidRPr="00EE44BD" w:rsidRDefault="00A64430" w:rsidP="007C07EC">
            <w:pPr>
              <w:spacing w:after="0" w:line="240" w:lineRule="auto"/>
              <w:rPr>
                <w:rFonts w:eastAsia="Times New Roman" w:cs="Times New Roman"/>
                <w:szCs w:val="20"/>
              </w:rPr>
            </w:pPr>
            <w:r w:rsidRPr="00EE44BD">
              <w:rPr>
                <w:rFonts w:eastAsia="Times New Roman" w:cs="Times New Roman"/>
                <w:szCs w:val="20"/>
              </w:rPr>
              <w:t>Cell specific BFD/CBD</w:t>
            </w:r>
          </w:p>
        </w:tc>
        <w:tc>
          <w:tcPr>
            <w:tcW w:w="1124" w:type="dxa"/>
            <w:vMerge w:val="restart"/>
            <w:tcBorders>
              <w:top w:val="nil"/>
              <w:left w:val="single" w:sz="4" w:space="0" w:color="auto"/>
              <w:bottom w:val="single" w:sz="4" w:space="0" w:color="auto"/>
              <w:right w:val="single" w:sz="4" w:space="0" w:color="auto"/>
            </w:tcBorders>
            <w:shd w:val="clear" w:color="auto" w:fill="auto"/>
            <w:hideMark/>
          </w:tcPr>
          <w:p w14:paraId="155BC6CB" w14:textId="77777777" w:rsidR="00A64430" w:rsidRPr="00EE44BD" w:rsidRDefault="00A64430" w:rsidP="007C07EC">
            <w:pPr>
              <w:spacing w:after="0" w:line="240" w:lineRule="auto"/>
              <w:rPr>
                <w:rFonts w:eastAsia="Times New Roman" w:cs="Times New Roman"/>
                <w:szCs w:val="20"/>
              </w:rPr>
            </w:pPr>
            <w:r w:rsidRPr="00EE44BD">
              <w:rPr>
                <w:rFonts w:eastAsia="Times New Roman" w:cs="Times New Roman"/>
                <w:szCs w:val="20"/>
              </w:rPr>
              <w:t>s-DCI</w:t>
            </w:r>
          </w:p>
        </w:tc>
        <w:tc>
          <w:tcPr>
            <w:tcW w:w="5788" w:type="dxa"/>
            <w:gridSpan w:val="2"/>
            <w:tcBorders>
              <w:top w:val="single" w:sz="4" w:space="0" w:color="auto"/>
              <w:left w:val="nil"/>
              <w:bottom w:val="single" w:sz="4" w:space="0" w:color="auto"/>
              <w:right w:val="single" w:sz="4" w:space="0" w:color="auto"/>
            </w:tcBorders>
            <w:shd w:val="clear" w:color="auto" w:fill="auto"/>
            <w:hideMark/>
          </w:tcPr>
          <w:p w14:paraId="7CE6086C" w14:textId="77777777" w:rsidR="00A64430" w:rsidRPr="00EE44BD" w:rsidRDefault="00A64430" w:rsidP="007C07EC">
            <w:pPr>
              <w:spacing w:after="0" w:line="240" w:lineRule="auto"/>
              <w:rPr>
                <w:rFonts w:eastAsia="Times New Roman" w:cs="Times New Roman"/>
                <w:szCs w:val="20"/>
              </w:rPr>
            </w:pPr>
            <w:r w:rsidRPr="00EE44BD">
              <w:rPr>
                <w:rFonts w:eastAsia="Times New Roman" w:cs="Times New Roman"/>
                <w:szCs w:val="20"/>
              </w:rPr>
              <w:t>Beam failure detection and link recovery with reduced N (SSB-based, no DRX)</w:t>
            </w:r>
          </w:p>
        </w:tc>
      </w:tr>
      <w:tr w:rsidR="00A64430" w:rsidRPr="00A64430" w14:paraId="52D1F52B" w14:textId="77777777" w:rsidTr="00E22D4E">
        <w:trPr>
          <w:trHeight w:val="300"/>
        </w:trPr>
        <w:tc>
          <w:tcPr>
            <w:tcW w:w="2203" w:type="dxa"/>
            <w:vMerge/>
            <w:tcBorders>
              <w:top w:val="nil"/>
              <w:left w:val="single" w:sz="4" w:space="0" w:color="auto"/>
              <w:bottom w:val="single" w:sz="4" w:space="0" w:color="000000"/>
              <w:right w:val="single" w:sz="4" w:space="0" w:color="auto"/>
            </w:tcBorders>
            <w:hideMark/>
          </w:tcPr>
          <w:p w14:paraId="27248AC7" w14:textId="77777777" w:rsidR="00A64430" w:rsidRPr="00EE44BD" w:rsidRDefault="00A64430" w:rsidP="007C07EC">
            <w:pPr>
              <w:spacing w:after="0" w:line="240" w:lineRule="auto"/>
              <w:rPr>
                <w:rFonts w:eastAsia="Times New Roman" w:cs="Times New Roman"/>
                <w:szCs w:val="20"/>
              </w:rPr>
            </w:pPr>
          </w:p>
        </w:tc>
        <w:tc>
          <w:tcPr>
            <w:tcW w:w="1124" w:type="dxa"/>
            <w:vMerge/>
            <w:tcBorders>
              <w:top w:val="nil"/>
              <w:left w:val="single" w:sz="4" w:space="0" w:color="auto"/>
              <w:bottom w:val="single" w:sz="4" w:space="0" w:color="auto"/>
              <w:right w:val="single" w:sz="4" w:space="0" w:color="auto"/>
            </w:tcBorders>
            <w:hideMark/>
          </w:tcPr>
          <w:p w14:paraId="3FECB87A" w14:textId="77777777" w:rsidR="00A64430" w:rsidRPr="00EE44BD" w:rsidRDefault="00A64430" w:rsidP="007C07EC">
            <w:pPr>
              <w:spacing w:after="0" w:line="240" w:lineRule="auto"/>
              <w:rPr>
                <w:rFonts w:eastAsia="Times New Roman" w:cs="Times New Roman"/>
                <w:szCs w:val="20"/>
              </w:rPr>
            </w:pPr>
          </w:p>
        </w:tc>
        <w:tc>
          <w:tcPr>
            <w:tcW w:w="5788" w:type="dxa"/>
            <w:gridSpan w:val="2"/>
            <w:tcBorders>
              <w:top w:val="single" w:sz="4" w:space="0" w:color="auto"/>
              <w:left w:val="nil"/>
              <w:bottom w:val="single" w:sz="4" w:space="0" w:color="auto"/>
              <w:right w:val="single" w:sz="4" w:space="0" w:color="000000"/>
            </w:tcBorders>
            <w:shd w:val="clear" w:color="auto" w:fill="auto"/>
            <w:hideMark/>
          </w:tcPr>
          <w:p w14:paraId="776E0565" w14:textId="77777777" w:rsidR="00A64430" w:rsidRPr="00EE44BD" w:rsidRDefault="00A64430" w:rsidP="007C07EC">
            <w:pPr>
              <w:spacing w:after="0" w:line="240" w:lineRule="auto"/>
              <w:rPr>
                <w:rFonts w:eastAsia="Times New Roman" w:cs="Times New Roman"/>
                <w:szCs w:val="20"/>
              </w:rPr>
            </w:pPr>
            <w:r w:rsidRPr="00EE44BD">
              <w:rPr>
                <w:rFonts w:eastAsia="Times New Roman" w:cs="Times New Roman"/>
                <w:szCs w:val="20"/>
              </w:rPr>
              <w:t>Scheduling restrictions (CSI-RS based)</w:t>
            </w:r>
          </w:p>
        </w:tc>
      </w:tr>
      <w:tr w:rsidR="00A64430" w:rsidRPr="00A64430" w14:paraId="0EABDCEE" w14:textId="77777777" w:rsidTr="00E22D4E">
        <w:trPr>
          <w:trHeight w:val="300"/>
        </w:trPr>
        <w:tc>
          <w:tcPr>
            <w:tcW w:w="2203" w:type="dxa"/>
            <w:vMerge/>
            <w:tcBorders>
              <w:top w:val="nil"/>
              <w:left w:val="single" w:sz="4" w:space="0" w:color="auto"/>
              <w:bottom w:val="single" w:sz="4" w:space="0" w:color="000000"/>
              <w:right w:val="single" w:sz="4" w:space="0" w:color="auto"/>
            </w:tcBorders>
            <w:hideMark/>
          </w:tcPr>
          <w:p w14:paraId="5BB747AA" w14:textId="77777777" w:rsidR="00A64430" w:rsidRPr="00EE44BD" w:rsidRDefault="00A64430" w:rsidP="007C07EC">
            <w:pPr>
              <w:spacing w:after="0" w:line="240" w:lineRule="auto"/>
              <w:rPr>
                <w:rFonts w:eastAsia="Times New Roman" w:cs="Times New Roman"/>
                <w:szCs w:val="20"/>
              </w:rPr>
            </w:pPr>
          </w:p>
        </w:tc>
        <w:tc>
          <w:tcPr>
            <w:tcW w:w="1124" w:type="dxa"/>
            <w:vMerge/>
            <w:tcBorders>
              <w:top w:val="nil"/>
              <w:left w:val="single" w:sz="4" w:space="0" w:color="auto"/>
              <w:bottom w:val="single" w:sz="4" w:space="0" w:color="auto"/>
              <w:right w:val="single" w:sz="4" w:space="0" w:color="auto"/>
            </w:tcBorders>
            <w:hideMark/>
          </w:tcPr>
          <w:p w14:paraId="214524D1" w14:textId="77777777" w:rsidR="00A64430" w:rsidRPr="00EE44BD" w:rsidRDefault="00A64430" w:rsidP="007C07EC">
            <w:pPr>
              <w:spacing w:after="0" w:line="240" w:lineRule="auto"/>
              <w:rPr>
                <w:rFonts w:eastAsia="Times New Roman" w:cs="Times New Roman"/>
                <w:szCs w:val="20"/>
              </w:rPr>
            </w:pPr>
          </w:p>
        </w:tc>
        <w:tc>
          <w:tcPr>
            <w:tcW w:w="5788" w:type="dxa"/>
            <w:gridSpan w:val="2"/>
            <w:tcBorders>
              <w:top w:val="single" w:sz="4" w:space="0" w:color="auto"/>
              <w:left w:val="nil"/>
              <w:bottom w:val="single" w:sz="4" w:space="0" w:color="auto"/>
              <w:right w:val="single" w:sz="4" w:space="0" w:color="auto"/>
            </w:tcBorders>
            <w:shd w:val="clear" w:color="auto" w:fill="auto"/>
            <w:hideMark/>
          </w:tcPr>
          <w:p w14:paraId="74A23A84" w14:textId="77777777" w:rsidR="00A64430" w:rsidRPr="00D52B7F" w:rsidRDefault="00A64430" w:rsidP="007C07EC">
            <w:pPr>
              <w:spacing w:after="0" w:line="240" w:lineRule="auto"/>
              <w:rPr>
                <w:rFonts w:eastAsia="Times New Roman" w:cs="Times New Roman"/>
                <w:szCs w:val="20"/>
              </w:rPr>
            </w:pPr>
            <w:r w:rsidRPr="00D52B7F">
              <w:rPr>
                <w:rFonts w:eastAsia="Times New Roman" w:cs="Times New Roman"/>
                <w:szCs w:val="20"/>
              </w:rPr>
              <w:t>Measurement restrictions (CSI-RS based)</w:t>
            </w:r>
          </w:p>
        </w:tc>
      </w:tr>
      <w:tr w:rsidR="00A64430" w:rsidRPr="00A64430" w14:paraId="37415D6D" w14:textId="77777777" w:rsidTr="00E22D4E">
        <w:trPr>
          <w:trHeight w:val="300"/>
        </w:trPr>
        <w:tc>
          <w:tcPr>
            <w:tcW w:w="2203" w:type="dxa"/>
            <w:vMerge w:val="restart"/>
            <w:tcBorders>
              <w:top w:val="nil"/>
              <w:left w:val="single" w:sz="4" w:space="0" w:color="auto"/>
              <w:bottom w:val="single" w:sz="4" w:space="0" w:color="000000"/>
              <w:right w:val="single" w:sz="4" w:space="0" w:color="auto"/>
            </w:tcBorders>
            <w:shd w:val="clear" w:color="auto" w:fill="auto"/>
            <w:hideMark/>
          </w:tcPr>
          <w:p w14:paraId="72475D6A" w14:textId="77777777" w:rsidR="00A64430" w:rsidRPr="00EE44BD" w:rsidRDefault="00A64430" w:rsidP="007C07EC">
            <w:pPr>
              <w:spacing w:after="0" w:line="240" w:lineRule="auto"/>
              <w:rPr>
                <w:rFonts w:eastAsia="Times New Roman" w:cs="Times New Roman"/>
                <w:szCs w:val="20"/>
              </w:rPr>
            </w:pPr>
            <w:r w:rsidRPr="00EE44BD">
              <w:rPr>
                <w:rFonts w:eastAsia="Times New Roman" w:cs="Times New Roman"/>
                <w:szCs w:val="20"/>
              </w:rPr>
              <w:t>TRP specific BFD/CBD</w:t>
            </w:r>
          </w:p>
        </w:tc>
        <w:tc>
          <w:tcPr>
            <w:tcW w:w="1124" w:type="dxa"/>
            <w:vMerge w:val="restart"/>
            <w:tcBorders>
              <w:top w:val="nil"/>
              <w:left w:val="single" w:sz="4" w:space="0" w:color="auto"/>
              <w:bottom w:val="single" w:sz="4" w:space="0" w:color="auto"/>
              <w:right w:val="single" w:sz="4" w:space="0" w:color="auto"/>
            </w:tcBorders>
            <w:shd w:val="clear" w:color="auto" w:fill="auto"/>
            <w:hideMark/>
          </w:tcPr>
          <w:p w14:paraId="36D7AC3C" w14:textId="77777777" w:rsidR="00A64430" w:rsidRPr="00EE44BD" w:rsidRDefault="00A64430" w:rsidP="007C07EC">
            <w:pPr>
              <w:spacing w:after="0" w:line="240" w:lineRule="auto"/>
              <w:rPr>
                <w:rFonts w:eastAsia="Times New Roman" w:cs="Times New Roman"/>
                <w:szCs w:val="20"/>
              </w:rPr>
            </w:pPr>
            <w:r w:rsidRPr="00EE44BD">
              <w:rPr>
                <w:rFonts w:eastAsia="Times New Roman" w:cs="Times New Roman"/>
                <w:szCs w:val="20"/>
              </w:rPr>
              <w:t>m-DCI</w:t>
            </w:r>
          </w:p>
        </w:tc>
        <w:tc>
          <w:tcPr>
            <w:tcW w:w="5788" w:type="dxa"/>
            <w:gridSpan w:val="2"/>
            <w:tcBorders>
              <w:top w:val="single" w:sz="4" w:space="0" w:color="auto"/>
              <w:left w:val="nil"/>
              <w:bottom w:val="single" w:sz="4" w:space="0" w:color="auto"/>
              <w:right w:val="single" w:sz="4" w:space="0" w:color="auto"/>
            </w:tcBorders>
            <w:shd w:val="clear" w:color="auto" w:fill="auto"/>
            <w:hideMark/>
          </w:tcPr>
          <w:p w14:paraId="0AF7560A" w14:textId="5B1B48AA" w:rsidR="00A64430" w:rsidRPr="00D52B7F" w:rsidRDefault="00A64430" w:rsidP="007C07EC">
            <w:pPr>
              <w:spacing w:after="0" w:line="240" w:lineRule="auto"/>
              <w:rPr>
                <w:rFonts w:eastAsia="Times New Roman" w:cs="Times New Roman"/>
                <w:szCs w:val="20"/>
              </w:rPr>
            </w:pPr>
            <w:r w:rsidRPr="00D52B7F">
              <w:rPr>
                <w:rFonts w:eastAsia="Times New Roman" w:cs="Times New Roman"/>
                <w:szCs w:val="20"/>
              </w:rPr>
              <w:t xml:space="preserve">Beam failure detection and link recovery with reduced N </w:t>
            </w:r>
            <w:r w:rsidR="00CD2B18" w:rsidRPr="00D52B7F">
              <w:rPr>
                <w:rFonts w:eastAsia="Times New Roman" w:cs="Times New Roman"/>
                <w:szCs w:val="20"/>
              </w:rPr>
              <w:t>and P</w:t>
            </w:r>
            <w:r w:rsidR="00CD2B18" w:rsidRPr="00D52B7F">
              <w:rPr>
                <w:rFonts w:eastAsia="Times New Roman" w:cs="Times New Roman"/>
                <w:szCs w:val="20"/>
                <w:vertAlign w:val="subscript"/>
              </w:rPr>
              <w:t>TRP</w:t>
            </w:r>
            <w:r w:rsidR="00CD2B18" w:rsidRPr="00D52B7F">
              <w:rPr>
                <w:rFonts w:eastAsia="Times New Roman" w:cs="Times New Roman"/>
                <w:szCs w:val="20"/>
              </w:rPr>
              <w:t xml:space="preserve">= </w:t>
            </w:r>
            <w:r w:rsidR="00F133E1" w:rsidRPr="00D52B7F">
              <w:rPr>
                <w:rFonts w:eastAsia="Times New Roman" w:cs="Times New Roman"/>
                <w:szCs w:val="20"/>
              </w:rPr>
              <w:t xml:space="preserve">1 </w:t>
            </w:r>
            <w:r w:rsidRPr="00D52B7F">
              <w:rPr>
                <w:rFonts w:eastAsia="Times New Roman" w:cs="Times New Roman"/>
                <w:szCs w:val="20"/>
              </w:rPr>
              <w:t>(SSB-based, no DRX)</w:t>
            </w:r>
          </w:p>
        </w:tc>
      </w:tr>
      <w:tr w:rsidR="00A64430" w:rsidRPr="00A64430" w14:paraId="6E5273E9" w14:textId="77777777" w:rsidTr="00E22D4E">
        <w:trPr>
          <w:trHeight w:val="300"/>
        </w:trPr>
        <w:tc>
          <w:tcPr>
            <w:tcW w:w="2203" w:type="dxa"/>
            <w:vMerge/>
            <w:tcBorders>
              <w:top w:val="nil"/>
              <w:left w:val="single" w:sz="4" w:space="0" w:color="auto"/>
              <w:bottom w:val="single" w:sz="4" w:space="0" w:color="000000"/>
              <w:right w:val="single" w:sz="4" w:space="0" w:color="auto"/>
            </w:tcBorders>
            <w:hideMark/>
          </w:tcPr>
          <w:p w14:paraId="692ECB5A" w14:textId="77777777" w:rsidR="00A64430" w:rsidRPr="00EE44BD" w:rsidRDefault="00A64430" w:rsidP="007C07EC">
            <w:pPr>
              <w:spacing w:after="0" w:line="240" w:lineRule="auto"/>
              <w:rPr>
                <w:rFonts w:eastAsia="Times New Roman" w:cs="Times New Roman"/>
                <w:szCs w:val="20"/>
              </w:rPr>
            </w:pPr>
          </w:p>
        </w:tc>
        <w:tc>
          <w:tcPr>
            <w:tcW w:w="1124" w:type="dxa"/>
            <w:vMerge/>
            <w:tcBorders>
              <w:top w:val="nil"/>
              <w:left w:val="single" w:sz="4" w:space="0" w:color="auto"/>
              <w:bottom w:val="single" w:sz="4" w:space="0" w:color="auto"/>
              <w:right w:val="single" w:sz="4" w:space="0" w:color="auto"/>
            </w:tcBorders>
            <w:hideMark/>
          </w:tcPr>
          <w:p w14:paraId="433C3C46" w14:textId="77777777" w:rsidR="00A64430" w:rsidRPr="00EE44BD" w:rsidRDefault="00A64430" w:rsidP="007C07EC">
            <w:pPr>
              <w:spacing w:after="0" w:line="240" w:lineRule="auto"/>
              <w:rPr>
                <w:rFonts w:eastAsia="Times New Roman" w:cs="Times New Roman"/>
                <w:szCs w:val="20"/>
              </w:rPr>
            </w:pPr>
          </w:p>
        </w:tc>
        <w:tc>
          <w:tcPr>
            <w:tcW w:w="5788" w:type="dxa"/>
            <w:gridSpan w:val="2"/>
            <w:tcBorders>
              <w:top w:val="single" w:sz="4" w:space="0" w:color="auto"/>
              <w:left w:val="nil"/>
              <w:bottom w:val="single" w:sz="4" w:space="0" w:color="auto"/>
              <w:right w:val="single" w:sz="4" w:space="0" w:color="000000"/>
            </w:tcBorders>
            <w:shd w:val="clear" w:color="auto" w:fill="auto"/>
            <w:hideMark/>
          </w:tcPr>
          <w:p w14:paraId="78E11794" w14:textId="77777777" w:rsidR="00A64430" w:rsidRPr="00D52B7F" w:rsidRDefault="00A64430" w:rsidP="007C07EC">
            <w:pPr>
              <w:spacing w:after="0" w:line="240" w:lineRule="auto"/>
              <w:rPr>
                <w:rFonts w:eastAsia="Times New Roman" w:cs="Times New Roman"/>
                <w:szCs w:val="20"/>
              </w:rPr>
            </w:pPr>
            <w:r w:rsidRPr="00D52B7F">
              <w:rPr>
                <w:rFonts w:eastAsia="Times New Roman" w:cs="Times New Roman"/>
                <w:szCs w:val="20"/>
              </w:rPr>
              <w:t>Scheduling restrictions (CSI-RS based)</w:t>
            </w:r>
          </w:p>
        </w:tc>
      </w:tr>
      <w:tr w:rsidR="00A64430" w:rsidRPr="00A64430" w14:paraId="70276CA5" w14:textId="77777777" w:rsidTr="00E22D4E">
        <w:trPr>
          <w:trHeight w:val="300"/>
        </w:trPr>
        <w:tc>
          <w:tcPr>
            <w:tcW w:w="2203" w:type="dxa"/>
            <w:vMerge/>
            <w:tcBorders>
              <w:top w:val="nil"/>
              <w:left w:val="single" w:sz="4" w:space="0" w:color="auto"/>
              <w:bottom w:val="single" w:sz="4" w:space="0" w:color="000000"/>
              <w:right w:val="single" w:sz="4" w:space="0" w:color="auto"/>
            </w:tcBorders>
            <w:hideMark/>
          </w:tcPr>
          <w:p w14:paraId="6C35A841" w14:textId="77777777" w:rsidR="00A64430" w:rsidRPr="00EE44BD" w:rsidRDefault="00A64430" w:rsidP="007C07EC">
            <w:pPr>
              <w:spacing w:after="0" w:line="240" w:lineRule="auto"/>
              <w:rPr>
                <w:rFonts w:eastAsia="Times New Roman" w:cs="Times New Roman"/>
                <w:szCs w:val="20"/>
              </w:rPr>
            </w:pPr>
          </w:p>
        </w:tc>
        <w:tc>
          <w:tcPr>
            <w:tcW w:w="1124" w:type="dxa"/>
            <w:vMerge/>
            <w:tcBorders>
              <w:top w:val="nil"/>
              <w:left w:val="single" w:sz="4" w:space="0" w:color="auto"/>
              <w:bottom w:val="single" w:sz="4" w:space="0" w:color="auto"/>
              <w:right w:val="single" w:sz="4" w:space="0" w:color="auto"/>
            </w:tcBorders>
            <w:hideMark/>
          </w:tcPr>
          <w:p w14:paraId="6184B421" w14:textId="77777777" w:rsidR="00A64430" w:rsidRPr="00EE44BD" w:rsidRDefault="00A64430" w:rsidP="007C07EC">
            <w:pPr>
              <w:spacing w:after="0" w:line="240" w:lineRule="auto"/>
              <w:rPr>
                <w:rFonts w:eastAsia="Times New Roman" w:cs="Times New Roman"/>
                <w:szCs w:val="20"/>
              </w:rPr>
            </w:pPr>
          </w:p>
        </w:tc>
        <w:tc>
          <w:tcPr>
            <w:tcW w:w="5788" w:type="dxa"/>
            <w:gridSpan w:val="2"/>
            <w:tcBorders>
              <w:top w:val="single" w:sz="4" w:space="0" w:color="auto"/>
              <w:left w:val="nil"/>
              <w:bottom w:val="nil"/>
              <w:right w:val="single" w:sz="4" w:space="0" w:color="auto"/>
            </w:tcBorders>
            <w:shd w:val="clear" w:color="auto" w:fill="auto"/>
            <w:hideMark/>
          </w:tcPr>
          <w:p w14:paraId="3AFF5332" w14:textId="77777777" w:rsidR="00A64430" w:rsidRPr="00EE44BD" w:rsidRDefault="00A64430" w:rsidP="007C07EC">
            <w:pPr>
              <w:spacing w:after="0" w:line="240" w:lineRule="auto"/>
              <w:rPr>
                <w:rFonts w:eastAsia="Times New Roman" w:cs="Times New Roman"/>
                <w:szCs w:val="20"/>
              </w:rPr>
            </w:pPr>
            <w:r w:rsidRPr="00EE44BD">
              <w:rPr>
                <w:rFonts w:eastAsia="Times New Roman" w:cs="Times New Roman"/>
                <w:szCs w:val="20"/>
              </w:rPr>
              <w:t>Measurement restrictions (CSI-RS based)</w:t>
            </w:r>
          </w:p>
        </w:tc>
      </w:tr>
      <w:tr w:rsidR="00A64430" w:rsidRPr="00A64430" w14:paraId="23A4B201" w14:textId="77777777" w:rsidTr="00E22D4E">
        <w:trPr>
          <w:trHeight w:val="300"/>
        </w:trPr>
        <w:tc>
          <w:tcPr>
            <w:tcW w:w="2203" w:type="dxa"/>
            <w:vMerge w:val="restart"/>
            <w:tcBorders>
              <w:top w:val="nil"/>
              <w:left w:val="single" w:sz="4" w:space="0" w:color="auto"/>
              <w:bottom w:val="single" w:sz="4" w:space="0" w:color="auto"/>
              <w:right w:val="single" w:sz="4" w:space="0" w:color="auto"/>
            </w:tcBorders>
            <w:shd w:val="clear" w:color="auto" w:fill="auto"/>
            <w:hideMark/>
          </w:tcPr>
          <w:p w14:paraId="337FDAB9" w14:textId="77777777" w:rsidR="00A64430" w:rsidRPr="00EE44BD" w:rsidRDefault="00A64430" w:rsidP="007C07EC">
            <w:pPr>
              <w:spacing w:after="0" w:line="240" w:lineRule="auto"/>
              <w:rPr>
                <w:rFonts w:eastAsia="Times New Roman" w:cs="Times New Roman"/>
                <w:szCs w:val="20"/>
              </w:rPr>
            </w:pPr>
            <w:r w:rsidRPr="00EE44BD">
              <w:rPr>
                <w:rFonts w:eastAsia="Times New Roman" w:cs="Times New Roman"/>
                <w:szCs w:val="20"/>
              </w:rPr>
              <w:lastRenderedPageBreak/>
              <w:t>L1-RSRP measurement (non-group-based)</w:t>
            </w:r>
          </w:p>
        </w:tc>
        <w:tc>
          <w:tcPr>
            <w:tcW w:w="1124" w:type="dxa"/>
            <w:vMerge w:val="restart"/>
            <w:tcBorders>
              <w:top w:val="nil"/>
              <w:left w:val="single" w:sz="4" w:space="0" w:color="auto"/>
              <w:bottom w:val="single" w:sz="4" w:space="0" w:color="auto"/>
              <w:right w:val="single" w:sz="4" w:space="0" w:color="auto"/>
            </w:tcBorders>
            <w:shd w:val="clear" w:color="auto" w:fill="auto"/>
            <w:hideMark/>
          </w:tcPr>
          <w:p w14:paraId="4AF6AA85" w14:textId="77777777" w:rsidR="00A64430" w:rsidRPr="00EE44BD" w:rsidRDefault="00A64430" w:rsidP="007C07EC">
            <w:pPr>
              <w:spacing w:after="0" w:line="240" w:lineRule="auto"/>
              <w:rPr>
                <w:rFonts w:eastAsia="Times New Roman" w:cs="Times New Roman"/>
                <w:szCs w:val="20"/>
              </w:rPr>
            </w:pPr>
            <w:r w:rsidRPr="00EE44BD">
              <w:rPr>
                <w:rFonts w:eastAsia="Times New Roman" w:cs="Times New Roman"/>
                <w:szCs w:val="20"/>
              </w:rPr>
              <w:t> </w:t>
            </w:r>
          </w:p>
        </w:tc>
        <w:tc>
          <w:tcPr>
            <w:tcW w:w="5788" w:type="dxa"/>
            <w:gridSpan w:val="2"/>
            <w:tcBorders>
              <w:top w:val="single" w:sz="4" w:space="0" w:color="auto"/>
              <w:left w:val="nil"/>
              <w:bottom w:val="single" w:sz="4" w:space="0" w:color="auto"/>
              <w:right w:val="single" w:sz="4" w:space="0" w:color="auto"/>
            </w:tcBorders>
            <w:shd w:val="clear" w:color="auto" w:fill="auto"/>
            <w:hideMark/>
          </w:tcPr>
          <w:p w14:paraId="73F89CCF" w14:textId="77777777" w:rsidR="00A64430" w:rsidRPr="00EE44BD" w:rsidRDefault="00A64430" w:rsidP="007C07EC">
            <w:pPr>
              <w:spacing w:after="0" w:line="240" w:lineRule="auto"/>
              <w:rPr>
                <w:rFonts w:eastAsia="Times New Roman" w:cs="Times New Roman"/>
                <w:szCs w:val="20"/>
              </w:rPr>
            </w:pPr>
            <w:r w:rsidRPr="00EE44BD">
              <w:rPr>
                <w:rFonts w:eastAsia="Times New Roman" w:cs="Times New Roman"/>
                <w:szCs w:val="20"/>
              </w:rPr>
              <w:t>Measurement with reduced N (SSB-based)</w:t>
            </w:r>
          </w:p>
        </w:tc>
      </w:tr>
      <w:tr w:rsidR="00A64430" w:rsidRPr="00A64430" w14:paraId="3DDCAE54" w14:textId="77777777" w:rsidTr="00E22D4E">
        <w:trPr>
          <w:trHeight w:val="300"/>
        </w:trPr>
        <w:tc>
          <w:tcPr>
            <w:tcW w:w="2203" w:type="dxa"/>
            <w:vMerge/>
            <w:tcBorders>
              <w:top w:val="nil"/>
              <w:left w:val="single" w:sz="4" w:space="0" w:color="auto"/>
              <w:bottom w:val="single" w:sz="4" w:space="0" w:color="auto"/>
              <w:right w:val="single" w:sz="4" w:space="0" w:color="auto"/>
            </w:tcBorders>
            <w:hideMark/>
          </w:tcPr>
          <w:p w14:paraId="004D8D22" w14:textId="77777777" w:rsidR="00A64430" w:rsidRPr="00EE44BD" w:rsidRDefault="00A64430" w:rsidP="007C07EC">
            <w:pPr>
              <w:spacing w:after="0" w:line="240" w:lineRule="auto"/>
              <w:rPr>
                <w:rFonts w:eastAsia="Times New Roman" w:cs="Times New Roman"/>
                <w:szCs w:val="20"/>
              </w:rPr>
            </w:pPr>
          </w:p>
        </w:tc>
        <w:tc>
          <w:tcPr>
            <w:tcW w:w="1124" w:type="dxa"/>
            <w:vMerge/>
            <w:tcBorders>
              <w:top w:val="nil"/>
              <w:left w:val="single" w:sz="4" w:space="0" w:color="auto"/>
              <w:bottom w:val="single" w:sz="4" w:space="0" w:color="auto"/>
              <w:right w:val="single" w:sz="4" w:space="0" w:color="auto"/>
            </w:tcBorders>
            <w:hideMark/>
          </w:tcPr>
          <w:p w14:paraId="3A2C10BE" w14:textId="77777777" w:rsidR="00A64430" w:rsidRPr="00EE44BD" w:rsidRDefault="00A64430" w:rsidP="007C07EC">
            <w:pPr>
              <w:spacing w:after="0" w:line="240" w:lineRule="auto"/>
              <w:rPr>
                <w:rFonts w:eastAsia="Times New Roman" w:cs="Times New Roman"/>
                <w:szCs w:val="20"/>
              </w:rPr>
            </w:pPr>
          </w:p>
        </w:tc>
        <w:tc>
          <w:tcPr>
            <w:tcW w:w="5788" w:type="dxa"/>
            <w:gridSpan w:val="2"/>
            <w:tcBorders>
              <w:top w:val="single" w:sz="4" w:space="0" w:color="auto"/>
              <w:left w:val="nil"/>
              <w:bottom w:val="single" w:sz="4" w:space="0" w:color="auto"/>
              <w:right w:val="single" w:sz="4" w:space="0" w:color="auto"/>
            </w:tcBorders>
            <w:shd w:val="clear" w:color="auto" w:fill="auto"/>
            <w:hideMark/>
          </w:tcPr>
          <w:p w14:paraId="478B1620" w14:textId="77777777" w:rsidR="00A64430" w:rsidRPr="00EE44BD" w:rsidRDefault="00A64430" w:rsidP="007C07EC">
            <w:pPr>
              <w:spacing w:after="0" w:line="240" w:lineRule="auto"/>
              <w:rPr>
                <w:rFonts w:eastAsia="Times New Roman" w:cs="Times New Roman"/>
                <w:szCs w:val="20"/>
              </w:rPr>
            </w:pPr>
            <w:r w:rsidRPr="00EE44BD">
              <w:rPr>
                <w:rFonts w:eastAsia="Times New Roman" w:cs="Times New Roman"/>
                <w:szCs w:val="20"/>
              </w:rPr>
              <w:t>Scheduling restrictions (CSI-RS based)</w:t>
            </w:r>
          </w:p>
        </w:tc>
      </w:tr>
      <w:tr w:rsidR="00A64430" w:rsidRPr="00A64430" w14:paraId="7AB4A05A" w14:textId="77777777" w:rsidTr="00E22D4E">
        <w:trPr>
          <w:trHeight w:val="300"/>
        </w:trPr>
        <w:tc>
          <w:tcPr>
            <w:tcW w:w="2203" w:type="dxa"/>
            <w:vMerge/>
            <w:tcBorders>
              <w:top w:val="nil"/>
              <w:left w:val="single" w:sz="4" w:space="0" w:color="auto"/>
              <w:bottom w:val="single" w:sz="4" w:space="0" w:color="auto"/>
              <w:right w:val="single" w:sz="4" w:space="0" w:color="auto"/>
            </w:tcBorders>
            <w:hideMark/>
          </w:tcPr>
          <w:p w14:paraId="5618AB26" w14:textId="77777777" w:rsidR="00A64430" w:rsidRPr="00EE44BD" w:rsidRDefault="00A64430" w:rsidP="007C07EC">
            <w:pPr>
              <w:spacing w:after="0" w:line="240" w:lineRule="auto"/>
              <w:rPr>
                <w:rFonts w:eastAsia="Times New Roman" w:cs="Times New Roman"/>
                <w:szCs w:val="20"/>
              </w:rPr>
            </w:pPr>
          </w:p>
        </w:tc>
        <w:tc>
          <w:tcPr>
            <w:tcW w:w="1124" w:type="dxa"/>
            <w:vMerge/>
            <w:tcBorders>
              <w:top w:val="nil"/>
              <w:left w:val="single" w:sz="4" w:space="0" w:color="auto"/>
              <w:bottom w:val="single" w:sz="4" w:space="0" w:color="auto"/>
              <w:right w:val="single" w:sz="4" w:space="0" w:color="auto"/>
            </w:tcBorders>
            <w:hideMark/>
          </w:tcPr>
          <w:p w14:paraId="0B6ABA75" w14:textId="77777777" w:rsidR="00A64430" w:rsidRPr="00EE44BD" w:rsidRDefault="00A64430" w:rsidP="007C07EC">
            <w:pPr>
              <w:spacing w:after="0" w:line="240" w:lineRule="auto"/>
              <w:rPr>
                <w:rFonts w:eastAsia="Times New Roman" w:cs="Times New Roman"/>
                <w:szCs w:val="20"/>
              </w:rPr>
            </w:pPr>
          </w:p>
        </w:tc>
        <w:tc>
          <w:tcPr>
            <w:tcW w:w="5788" w:type="dxa"/>
            <w:gridSpan w:val="2"/>
            <w:tcBorders>
              <w:top w:val="single" w:sz="4" w:space="0" w:color="auto"/>
              <w:left w:val="nil"/>
              <w:bottom w:val="single" w:sz="4" w:space="0" w:color="auto"/>
              <w:right w:val="single" w:sz="4" w:space="0" w:color="auto"/>
            </w:tcBorders>
            <w:shd w:val="clear" w:color="auto" w:fill="auto"/>
            <w:hideMark/>
          </w:tcPr>
          <w:p w14:paraId="187FD254" w14:textId="77777777" w:rsidR="00A64430" w:rsidRPr="00EE44BD" w:rsidRDefault="00A64430" w:rsidP="007C07EC">
            <w:pPr>
              <w:spacing w:after="0" w:line="240" w:lineRule="auto"/>
              <w:rPr>
                <w:rFonts w:eastAsia="Times New Roman" w:cs="Times New Roman"/>
                <w:szCs w:val="20"/>
              </w:rPr>
            </w:pPr>
            <w:r w:rsidRPr="00EE44BD">
              <w:rPr>
                <w:rFonts w:eastAsia="Times New Roman" w:cs="Times New Roman"/>
                <w:szCs w:val="20"/>
              </w:rPr>
              <w:t>Measurement restrictions (CSI-RS based)</w:t>
            </w:r>
          </w:p>
        </w:tc>
      </w:tr>
      <w:tr w:rsidR="00A64430" w:rsidRPr="00A64430" w14:paraId="78006CC8" w14:textId="77777777" w:rsidTr="00E22D4E">
        <w:trPr>
          <w:trHeight w:val="300"/>
        </w:trPr>
        <w:tc>
          <w:tcPr>
            <w:tcW w:w="2203" w:type="dxa"/>
            <w:vMerge w:val="restart"/>
            <w:tcBorders>
              <w:top w:val="nil"/>
              <w:left w:val="single" w:sz="4" w:space="0" w:color="auto"/>
              <w:bottom w:val="single" w:sz="4" w:space="0" w:color="000000"/>
              <w:right w:val="single" w:sz="4" w:space="0" w:color="auto"/>
            </w:tcBorders>
            <w:shd w:val="clear" w:color="auto" w:fill="auto"/>
            <w:hideMark/>
          </w:tcPr>
          <w:p w14:paraId="7E78939A" w14:textId="77777777" w:rsidR="00A64430" w:rsidRPr="00EE44BD" w:rsidRDefault="00A64430" w:rsidP="007C07EC">
            <w:pPr>
              <w:spacing w:after="0" w:line="240" w:lineRule="auto"/>
              <w:rPr>
                <w:rFonts w:eastAsia="Times New Roman" w:cs="Times New Roman"/>
                <w:szCs w:val="20"/>
              </w:rPr>
            </w:pPr>
            <w:r w:rsidRPr="00EE44BD">
              <w:rPr>
                <w:rFonts w:eastAsia="Times New Roman" w:cs="Times New Roman"/>
                <w:szCs w:val="20"/>
              </w:rPr>
              <w:t>L1-RSRP measurement (group-based)</w:t>
            </w:r>
          </w:p>
        </w:tc>
        <w:tc>
          <w:tcPr>
            <w:tcW w:w="1124" w:type="dxa"/>
            <w:vMerge w:val="restart"/>
            <w:tcBorders>
              <w:top w:val="nil"/>
              <w:left w:val="single" w:sz="4" w:space="0" w:color="auto"/>
              <w:bottom w:val="single" w:sz="4" w:space="0" w:color="000000"/>
              <w:right w:val="single" w:sz="4" w:space="0" w:color="auto"/>
            </w:tcBorders>
            <w:shd w:val="clear" w:color="auto" w:fill="auto"/>
            <w:hideMark/>
          </w:tcPr>
          <w:p w14:paraId="72C38556" w14:textId="77777777" w:rsidR="00A64430" w:rsidRPr="00EE44BD" w:rsidRDefault="00A64430" w:rsidP="007C07EC">
            <w:pPr>
              <w:spacing w:after="0" w:line="240" w:lineRule="auto"/>
              <w:rPr>
                <w:rFonts w:eastAsia="Times New Roman" w:cs="Times New Roman"/>
                <w:szCs w:val="20"/>
              </w:rPr>
            </w:pPr>
            <w:r w:rsidRPr="00EE44BD">
              <w:rPr>
                <w:rFonts w:eastAsia="Times New Roman" w:cs="Times New Roman"/>
                <w:szCs w:val="20"/>
              </w:rPr>
              <w:t> </w:t>
            </w:r>
          </w:p>
        </w:tc>
        <w:tc>
          <w:tcPr>
            <w:tcW w:w="5788" w:type="dxa"/>
            <w:gridSpan w:val="2"/>
            <w:tcBorders>
              <w:top w:val="single" w:sz="4" w:space="0" w:color="auto"/>
              <w:left w:val="nil"/>
              <w:bottom w:val="single" w:sz="4" w:space="0" w:color="auto"/>
              <w:right w:val="single" w:sz="4" w:space="0" w:color="auto"/>
            </w:tcBorders>
            <w:shd w:val="clear" w:color="auto" w:fill="auto"/>
            <w:hideMark/>
          </w:tcPr>
          <w:p w14:paraId="51DF20F6" w14:textId="77777777" w:rsidR="00A64430" w:rsidRPr="00EE44BD" w:rsidRDefault="00A64430" w:rsidP="007C07EC">
            <w:pPr>
              <w:spacing w:after="0" w:line="240" w:lineRule="auto"/>
              <w:rPr>
                <w:rFonts w:eastAsia="Times New Roman" w:cs="Times New Roman"/>
                <w:szCs w:val="20"/>
              </w:rPr>
            </w:pPr>
            <w:r w:rsidRPr="00EE44BD">
              <w:rPr>
                <w:rFonts w:eastAsia="Times New Roman" w:cs="Times New Roman"/>
                <w:szCs w:val="20"/>
              </w:rPr>
              <w:t>Measurement reporting and accuracy requirements (SSB-based)</w:t>
            </w:r>
          </w:p>
        </w:tc>
      </w:tr>
      <w:tr w:rsidR="00A64430" w:rsidRPr="00A64430" w14:paraId="0650F22C" w14:textId="77777777" w:rsidTr="00E22D4E">
        <w:trPr>
          <w:trHeight w:val="300"/>
        </w:trPr>
        <w:tc>
          <w:tcPr>
            <w:tcW w:w="2203" w:type="dxa"/>
            <w:vMerge/>
            <w:tcBorders>
              <w:top w:val="nil"/>
              <w:left w:val="single" w:sz="4" w:space="0" w:color="auto"/>
              <w:bottom w:val="single" w:sz="4" w:space="0" w:color="000000"/>
              <w:right w:val="single" w:sz="4" w:space="0" w:color="auto"/>
            </w:tcBorders>
            <w:hideMark/>
          </w:tcPr>
          <w:p w14:paraId="435A38AE" w14:textId="77777777" w:rsidR="00A64430" w:rsidRPr="00EE44BD" w:rsidRDefault="00A64430" w:rsidP="007C07EC">
            <w:pPr>
              <w:spacing w:after="0" w:line="240" w:lineRule="auto"/>
              <w:rPr>
                <w:rFonts w:eastAsia="Times New Roman" w:cs="Times New Roman"/>
                <w:szCs w:val="20"/>
              </w:rPr>
            </w:pPr>
          </w:p>
        </w:tc>
        <w:tc>
          <w:tcPr>
            <w:tcW w:w="1124" w:type="dxa"/>
            <w:vMerge/>
            <w:tcBorders>
              <w:top w:val="nil"/>
              <w:left w:val="single" w:sz="4" w:space="0" w:color="auto"/>
              <w:bottom w:val="single" w:sz="4" w:space="0" w:color="000000"/>
              <w:right w:val="single" w:sz="4" w:space="0" w:color="auto"/>
            </w:tcBorders>
            <w:hideMark/>
          </w:tcPr>
          <w:p w14:paraId="773D4725" w14:textId="77777777" w:rsidR="00A64430" w:rsidRPr="00EE44BD" w:rsidRDefault="00A64430" w:rsidP="007C07EC">
            <w:pPr>
              <w:spacing w:after="0" w:line="240" w:lineRule="auto"/>
              <w:rPr>
                <w:rFonts w:eastAsia="Times New Roman" w:cs="Times New Roman"/>
                <w:szCs w:val="20"/>
              </w:rPr>
            </w:pPr>
          </w:p>
        </w:tc>
        <w:tc>
          <w:tcPr>
            <w:tcW w:w="5788" w:type="dxa"/>
            <w:gridSpan w:val="2"/>
            <w:tcBorders>
              <w:top w:val="single" w:sz="4" w:space="0" w:color="auto"/>
              <w:left w:val="nil"/>
              <w:bottom w:val="single" w:sz="4" w:space="0" w:color="auto"/>
              <w:right w:val="single" w:sz="4" w:space="0" w:color="auto"/>
            </w:tcBorders>
            <w:shd w:val="clear" w:color="auto" w:fill="auto"/>
            <w:hideMark/>
          </w:tcPr>
          <w:p w14:paraId="04DF51C7" w14:textId="77777777" w:rsidR="00A64430" w:rsidRPr="00EE44BD" w:rsidRDefault="00A64430" w:rsidP="007C07EC">
            <w:pPr>
              <w:spacing w:after="0" w:line="240" w:lineRule="auto"/>
              <w:rPr>
                <w:rFonts w:eastAsia="Times New Roman" w:cs="Times New Roman"/>
                <w:szCs w:val="20"/>
              </w:rPr>
            </w:pPr>
            <w:r w:rsidRPr="00EE44BD">
              <w:rPr>
                <w:rFonts w:eastAsia="Times New Roman" w:cs="Times New Roman"/>
                <w:szCs w:val="20"/>
              </w:rPr>
              <w:t>Measurement reporting and accuracy requirements (CSI-RS based)</w:t>
            </w:r>
          </w:p>
        </w:tc>
      </w:tr>
    </w:tbl>
    <w:p w14:paraId="204196A0" w14:textId="77777777" w:rsidR="002F6A1D" w:rsidRPr="006668D8" w:rsidRDefault="002F6A1D" w:rsidP="006668D8">
      <w:pPr>
        <w:rPr>
          <w:lang w:val="en-GB"/>
        </w:rPr>
      </w:pPr>
    </w:p>
    <w:p w14:paraId="3483967D" w14:textId="77777777" w:rsidR="00CD7492" w:rsidRPr="00EF698B" w:rsidRDefault="00CD7492" w:rsidP="00A37002">
      <w:pPr>
        <w:pStyle w:val="RAN4H1"/>
        <w:rPr>
          <w:lang w:val="en-US"/>
        </w:rPr>
      </w:pPr>
      <w:bookmarkStart w:id="16" w:name="_Toc116995848"/>
      <w:r w:rsidRPr="00EF698B">
        <w:rPr>
          <w:lang w:val="en-US"/>
        </w:rPr>
        <w:t>Conclusion</w:t>
      </w:r>
      <w:bookmarkEnd w:id="16"/>
    </w:p>
    <w:p w14:paraId="7152AD7A" w14:textId="143A78E7" w:rsidR="00EB73F7" w:rsidRDefault="00617326" w:rsidP="008E099C">
      <w:pPr>
        <w:rPr>
          <w:rStyle w:val="normaltextrun"/>
        </w:rPr>
      </w:pPr>
      <w:r>
        <w:rPr>
          <w:rStyle w:val="normaltextrun"/>
          <w:color w:val="000000"/>
          <w:shd w:val="clear" w:color="auto" w:fill="FFFFFF"/>
        </w:rPr>
        <w:t>The</w:t>
      </w:r>
      <w:r w:rsidR="00EB73F7" w:rsidRPr="0B4C8377">
        <w:rPr>
          <w:rStyle w:val="normaltextrun"/>
          <w:color w:val="000000"/>
          <w:shd w:val="clear" w:color="auto" w:fill="FFFFFF"/>
        </w:rPr>
        <w:t xml:space="preserve"> following observations and proposals were made</w:t>
      </w:r>
      <w:r>
        <w:rPr>
          <w:rStyle w:val="normaltextrun"/>
          <w:color w:val="000000"/>
          <w:shd w:val="clear" w:color="auto" w:fill="FFFFFF"/>
        </w:rPr>
        <w:t xml:space="preserve"> in this contribution</w:t>
      </w:r>
      <w:r w:rsidR="00EB73F7" w:rsidRPr="0B4C8377">
        <w:rPr>
          <w:rStyle w:val="normaltextrun"/>
          <w:color w:val="000000"/>
          <w:shd w:val="clear" w:color="auto" w:fill="FFFFFF"/>
        </w:rPr>
        <w:t>: </w:t>
      </w:r>
      <w:r w:rsidR="00EB73F7" w:rsidRPr="00EB73F7">
        <w:rPr>
          <w:rStyle w:val="normaltextrun"/>
        </w:rPr>
        <w:t> </w:t>
      </w:r>
    </w:p>
    <w:p w14:paraId="43C6FC95" w14:textId="32AAF124" w:rsidR="008E099C" w:rsidRDefault="00A4355E">
      <w:pPr>
        <w:pStyle w:val="TOC5"/>
        <w:rPr>
          <w:rFonts w:asciiTheme="minorHAnsi" w:eastAsiaTheme="minorEastAsia" w:hAnsiTheme="minorHAnsi"/>
          <w:b w:val="0"/>
          <w:noProof/>
          <w:kern w:val="2"/>
          <w:sz w:val="22"/>
          <w14:ligatures w14:val="standardContextual"/>
        </w:rPr>
      </w:pPr>
      <w:r>
        <w:rPr>
          <w:i/>
          <w:iCs/>
          <w:noProof/>
        </w:rPr>
        <w:fldChar w:fldCharType="begin"/>
      </w:r>
      <w:r>
        <w:rPr>
          <w:i/>
          <w:iCs/>
          <w:noProof/>
        </w:rPr>
        <w:instrText xml:space="preserve"> TOC \n \h \z \t "RAN4 proposal,5,RAN4 observation,4" </w:instrText>
      </w:r>
      <w:r>
        <w:rPr>
          <w:i/>
          <w:iCs/>
          <w:noProof/>
        </w:rPr>
        <w:fldChar w:fldCharType="separate"/>
      </w:r>
      <w:hyperlink w:anchor="_Toc159231751" w:history="1">
        <w:r w:rsidR="008E099C" w:rsidRPr="001C4835">
          <w:rPr>
            <w:rStyle w:val="Hyperlink"/>
            <w:noProof/>
          </w:rPr>
          <w:t>Proposal 1: Reuse the existing L1-RSRP measurement accuracy requirements for group-based and non-group-based L1-RSRP measurements for a multi-Rx capable UE.</w:t>
        </w:r>
      </w:hyperlink>
    </w:p>
    <w:p w14:paraId="43D4B1BA" w14:textId="70F50A5E" w:rsidR="008E099C" w:rsidRDefault="004F6ED3">
      <w:pPr>
        <w:pStyle w:val="TOC5"/>
        <w:rPr>
          <w:rFonts w:asciiTheme="minorHAnsi" w:eastAsiaTheme="minorEastAsia" w:hAnsiTheme="minorHAnsi"/>
          <w:b w:val="0"/>
          <w:noProof/>
          <w:kern w:val="2"/>
          <w:sz w:val="22"/>
          <w14:ligatures w14:val="standardContextual"/>
        </w:rPr>
      </w:pPr>
      <w:hyperlink w:anchor="_Toc159231752" w:history="1">
        <w:r w:rsidR="008E099C" w:rsidRPr="001C4835">
          <w:rPr>
            <w:rStyle w:val="Hyperlink"/>
            <w:noProof/>
          </w:rPr>
          <w:t>Proposal 2: Four probes should be used for L1-RSRP group based beam reporting test cases and well as for TCI state switch delay test cases.</w:t>
        </w:r>
      </w:hyperlink>
    </w:p>
    <w:p w14:paraId="51B2FEFE" w14:textId="07892B9E" w:rsidR="008E099C" w:rsidRDefault="004F6ED3">
      <w:pPr>
        <w:pStyle w:val="TOC5"/>
        <w:rPr>
          <w:rFonts w:asciiTheme="minorHAnsi" w:eastAsiaTheme="minorEastAsia" w:hAnsiTheme="minorHAnsi"/>
          <w:b w:val="0"/>
          <w:noProof/>
          <w:kern w:val="2"/>
          <w:sz w:val="22"/>
          <w14:ligatures w14:val="standardContextual"/>
        </w:rPr>
      </w:pPr>
      <w:hyperlink w:anchor="_Toc159231753" w:history="1">
        <w:r w:rsidR="008E099C" w:rsidRPr="001C4835">
          <w:rPr>
            <w:rStyle w:val="Hyperlink"/>
            <w:noProof/>
          </w:rPr>
          <w:t>Proposal 3: Define a test case for group-based beam reporting using 4 probes, where the UE has to report two beam pairs from two different RS sets.</w:t>
        </w:r>
      </w:hyperlink>
    </w:p>
    <w:p w14:paraId="5AED289E" w14:textId="24C60724" w:rsidR="008E099C" w:rsidRDefault="004F6ED3">
      <w:pPr>
        <w:pStyle w:val="TOC5"/>
        <w:rPr>
          <w:rFonts w:asciiTheme="minorHAnsi" w:eastAsiaTheme="minorEastAsia" w:hAnsiTheme="minorHAnsi"/>
          <w:b w:val="0"/>
          <w:noProof/>
          <w:kern w:val="2"/>
          <w:sz w:val="22"/>
          <w14:ligatures w14:val="standardContextual"/>
        </w:rPr>
      </w:pPr>
      <w:hyperlink w:anchor="_Toc159231754" w:history="1">
        <w:r w:rsidR="008E099C" w:rsidRPr="001C4835">
          <w:rPr>
            <w:rStyle w:val="Hyperlink"/>
            <w:noProof/>
          </w:rPr>
          <w:t>Proposal 4: For R18 multi-Rx reception, introduce one test case to verify the enhancement of faster beam sweeping on each type of SSB based L1 measurements.</w:t>
        </w:r>
      </w:hyperlink>
    </w:p>
    <w:p w14:paraId="573C2723" w14:textId="6DBA1B6F" w:rsidR="008E099C" w:rsidRDefault="004F6ED3">
      <w:pPr>
        <w:pStyle w:val="TOC5"/>
        <w:rPr>
          <w:rFonts w:asciiTheme="minorHAnsi" w:eastAsiaTheme="minorEastAsia" w:hAnsiTheme="minorHAnsi"/>
          <w:b w:val="0"/>
          <w:noProof/>
          <w:kern w:val="2"/>
          <w:sz w:val="22"/>
          <w14:ligatures w14:val="standardContextual"/>
        </w:rPr>
      </w:pPr>
      <w:hyperlink w:anchor="_Toc159231755" w:history="1">
        <w:r w:rsidR="008E099C" w:rsidRPr="001C4835">
          <w:rPr>
            <w:rStyle w:val="Hyperlink"/>
            <w:noProof/>
          </w:rPr>
          <w:t>Proposal 5: For TRP-specific BFD test case, also verify the P</w:t>
        </w:r>
        <w:r w:rsidR="008E099C" w:rsidRPr="001C4835">
          <w:rPr>
            <w:rStyle w:val="Hyperlink"/>
            <w:noProof/>
            <w:vertAlign w:val="subscript"/>
          </w:rPr>
          <w:t>TRP</w:t>
        </w:r>
        <w:r w:rsidR="008E099C" w:rsidRPr="001C4835">
          <w:rPr>
            <w:rStyle w:val="Hyperlink"/>
            <w:noProof/>
          </w:rPr>
          <w:t xml:space="preserve"> factor reduction.</w:t>
        </w:r>
      </w:hyperlink>
    </w:p>
    <w:p w14:paraId="39B65F94" w14:textId="0B3BCE2C" w:rsidR="008E099C" w:rsidRDefault="004F6ED3">
      <w:pPr>
        <w:pStyle w:val="TOC5"/>
        <w:rPr>
          <w:rFonts w:asciiTheme="minorHAnsi" w:eastAsiaTheme="minorEastAsia" w:hAnsiTheme="minorHAnsi"/>
          <w:b w:val="0"/>
          <w:noProof/>
          <w:kern w:val="2"/>
          <w:sz w:val="22"/>
          <w14:ligatures w14:val="standardContextual"/>
        </w:rPr>
      </w:pPr>
      <w:hyperlink w:anchor="_Toc159231756" w:history="1">
        <w:r w:rsidR="008E099C" w:rsidRPr="001C4835">
          <w:rPr>
            <w:rStyle w:val="Hyperlink"/>
            <w:noProof/>
            <w:lang w:val="en-GB"/>
          </w:rPr>
          <w:t>Proposal 6:</w:t>
        </w:r>
        <w:r w:rsidR="008E099C" w:rsidRPr="001C4835">
          <w:rPr>
            <w:rStyle w:val="Hyperlink"/>
            <w:noProof/>
          </w:rPr>
          <w:t xml:space="preserve"> For R18 multi-Rx reception, introduce one test case to verify the enhancement of scheduling restriction relaxation on CSI-RS based L1 measurements.</w:t>
        </w:r>
      </w:hyperlink>
    </w:p>
    <w:p w14:paraId="247D7FE4" w14:textId="7A8C8F2E" w:rsidR="008E099C" w:rsidRDefault="004F6ED3">
      <w:pPr>
        <w:pStyle w:val="TOC5"/>
        <w:rPr>
          <w:rFonts w:asciiTheme="minorHAnsi" w:eastAsiaTheme="minorEastAsia" w:hAnsiTheme="minorHAnsi"/>
          <w:b w:val="0"/>
          <w:noProof/>
          <w:kern w:val="2"/>
          <w:sz w:val="22"/>
          <w14:ligatures w14:val="standardContextual"/>
        </w:rPr>
      </w:pPr>
      <w:hyperlink w:anchor="_Toc159231757" w:history="1">
        <w:r w:rsidR="008E099C" w:rsidRPr="001C4835">
          <w:rPr>
            <w:rStyle w:val="Hyperlink"/>
            <w:noProof/>
          </w:rPr>
          <w:t>Proposal 7: For R18 multi-Rx reception, introduce one test case to verify the enhancement of measurement restriction relaxation on CSI-RS based L1 measurements.</w:t>
        </w:r>
      </w:hyperlink>
    </w:p>
    <w:p w14:paraId="7DA02078" w14:textId="148FD96A" w:rsidR="008E099C" w:rsidRDefault="004F6ED3">
      <w:pPr>
        <w:pStyle w:val="TOC5"/>
        <w:rPr>
          <w:rFonts w:asciiTheme="minorHAnsi" w:eastAsiaTheme="minorEastAsia" w:hAnsiTheme="minorHAnsi"/>
          <w:b w:val="0"/>
          <w:noProof/>
          <w:kern w:val="2"/>
          <w:sz w:val="22"/>
          <w14:ligatures w14:val="standardContextual"/>
        </w:rPr>
      </w:pPr>
      <w:hyperlink w:anchor="_Toc159231758" w:history="1">
        <w:r w:rsidR="008E099C" w:rsidRPr="001C4835">
          <w:rPr>
            <w:rStyle w:val="Hyperlink"/>
            <w:noProof/>
          </w:rPr>
          <w:t>Proposal 8: Measurement restrictions can be tested by configuring overlapping RS for L1 test cases.</w:t>
        </w:r>
      </w:hyperlink>
    </w:p>
    <w:p w14:paraId="030AA936" w14:textId="746879BB" w:rsidR="008E099C" w:rsidRDefault="004F6ED3">
      <w:pPr>
        <w:pStyle w:val="TOC5"/>
        <w:rPr>
          <w:rFonts w:asciiTheme="minorHAnsi" w:eastAsiaTheme="minorEastAsia" w:hAnsiTheme="minorHAnsi"/>
          <w:b w:val="0"/>
          <w:noProof/>
          <w:kern w:val="2"/>
          <w:sz w:val="22"/>
          <w14:ligatures w14:val="standardContextual"/>
        </w:rPr>
      </w:pPr>
      <w:hyperlink w:anchor="_Toc159231759" w:history="1">
        <w:r w:rsidR="008E099C" w:rsidRPr="001C4835">
          <w:rPr>
            <w:rStyle w:val="Hyperlink"/>
            <w:noProof/>
          </w:rPr>
          <w:t>Proposal 9: Define TCI state switching test cases for dual to dual TCI state switch for m-DCI and s-DCI. Additionally, define single to dual and dual to single TCI state switch test cases for PDSCH TCI state switch for s-DCI.</w:t>
        </w:r>
      </w:hyperlink>
    </w:p>
    <w:p w14:paraId="4B0A3BC8" w14:textId="5B596091" w:rsidR="008E099C" w:rsidRDefault="004F6ED3">
      <w:pPr>
        <w:pStyle w:val="TOC5"/>
        <w:rPr>
          <w:rFonts w:asciiTheme="minorHAnsi" w:eastAsiaTheme="minorEastAsia" w:hAnsiTheme="minorHAnsi"/>
          <w:b w:val="0"/>
          <w:noProof/>
          <w:kern w:val="2"/>
          <w:sz w:val="22"/>
          <w14:ligatures w14:val="standardContextual"/>
        </w:rPr>
      </w:pPr>
      <w:hyperlink w:anchor="_Toc159231760" w:history="1">
        <w:r w:rsidR="008E099C" w:rsidRPr="001C4835">
          <w:rPr>
            <w:rStyle w:val="Hyperlink"/>
            <w:noProof/>
          </w:rPr>
          <w:t>Proposal 10: For RRC-based TCI state switch in m-DCI, and MAC-CE based TCI state switch in s-DCI, it is sufficient that the UE passes the legacy test case.</w:t>
        </w:r>
      </w:hyperlink>
    </w:p>
    <w:p w14:paraId="62A44637" w14:textId="718EB143" w:rsidR="008E099C" w:rsidRDefault="004F6ED3">
      <w:pPr>
        <w:pStyle w:val="TOC5"/>
        <w:rPr>
          <w:rFonts w:asciiTheme="minorHAnsi" w:eastAsiaTheme="minorEastAsia" w:hAnsiTheme="minorHAnsi"/>
          <w:b w:val="0"/>
          <w:noProof/>
          <w:kern w:val="2"/>
          <w:sz w:val="22"/>
          <w14:ligatures w14:val="standardContextual"/>
        </w:rPr>
      </w:pPr>
      <w:hyperlink w:anchor="_Toc159231761" w:history="1">
        <w:r w:rsidR="008E099C" w:rsidRPr="001C4835">
          <w:rPr>
            <w:rStyle w:val="Hyperlink"/>
            <w:noProof/>
          </w:rPr>
          <w:t>Proposal 11: Define MAC-CE based dual TCI state switch test case for m-DCI for overlapping TCI state switches from two TRPs.</w:t>
        </w:r>
      </w:hyperlink>
    </w:p>
    <w:p w14:paraId="5326A5AA" w14:textId="6F8417B9" w:rsidR="008E099C" w:rsidRDefault="004F6ED3">
      <w:pPr>
        <w:pStyle w:val="TOC5"/>
        <w:rPr>
          <w:rFonts w:asciiTheme="minorHAnsi" w:eastAsiaTheme="minorEastAsia" w:hAnsiTheme="minorHAnsi"/>
          <w:b w:val="0"/>
          <w:noProof/>
          <w:kern w:val="2"/>
          <w:sz w:val="22"/>
          <w14:ligatures w14:val="standardContextual"/>
        </w:rPr>
      </w:pPr>
      <w:hyperlink w:anchor="_Toc159231762" w:history="1">
        <w:r w:rsidR="008E099C" w:rsidRPr="001C4835">
          <w:rPr>
            <w:rStyle w:val="Hyperlink"/>
            <w:noProof/>
          </w:rPr>
          <w:t>Proposal 12: Define MAC-CE based dual TCI state switch test case for PDCCH repetition.</w:t>
        </w:r>
      </w:hyperlink>
    </w:p>
    <w:p w14:paraId="0CAE4400" w14:textId="41E66844" w:rsidR="008E099C" w:rsidRDefault="004F6ED3">
      <w:pPr>
        <w:pStyle w:val="TOC5"/>
        <w:rPr>
          <w:rFonts w:asciiTheme="minorHAnsi" w:eastAsiaTheme="minorEastAsia" w:hAnsiTheme="minorHAnsi"/>
          <w:b w:val="0"/>
          <w:noProof/>
          <w:kern w:val="2"/>
          <w:sz w:val="22"/>
          <w14:ligatures w14:val="standardContextual"/>
        </w:rPr>
      </w:pPr>
      <w:hyperlink w:anchor="_Toc159231763" w:history="1">
        <w:r w:rsidR="008E099C" w:rsidRPr="001C4835">
          <w:rPr>
            <w:rStyle w:val="Hyperlink"/>
            <w:noProof/>
          </w:rPr>
          <w:t>Proposal 13: Define a combined test case for dual active TCI state list update and DCI-based TCI state switch for s-DCI and m-DCI.</w:t>
        </w:r>
      </w:hyperlink>
    </w:p>
    <w:p w14:paraId="1473744B" w14:textId="505DFCA4" w:rsidR="008E099C" w:rsidRDefault="004F6ED3">
      <w:pPr>
        <w:pStyle w:val="TOC5"/>
        <w:rPr>
          <w:rStyle w:val="Hyperlink"/>
          <w:noProof/>
        </w:rPr>
      </w:pPr>
      <w:hyperlink w:anchor="_Toc159231764" w:history="1">
        <w:r w:rsidR="008E099C" w:rsidRPr="001C4835">
          <w:rPr>
            <w:rStyle w:val="Hyperlink"/>
            <w:noProof/>
            <w:lang w:val="en-GB"/>
          </w:rPr>
          <w:t>Proposal 14: RAN4 to consider the following test case list for Rel-18 multi-Rx performance part:</w:t>
        </w:r>
      </w:hyperlink>
    </w:p>
    <w:tbl>
      <w:tblPr>
        <w:tblW w:w="9115" w:type="dxa"/>
        <w:tblInd w:w="720" w:type="dxa"/>
        <w:tblLook w:val="04A0" w:firstRow="1" w:lastRow="0" w:firstColumn="1" w:lastColumn="0" w:noHBand="0" w:noVBand="1"/>
      </w:tblPr>
      <w:tblGrid>
        <w:gridCol w:w="2203"/>
        <w:gridCol w:w="1124"/>
        <w:gridCol w:w="3614"/>
        <w:gridCol w:w="2174"/>
      </w:tblGrid>
      <w:tr w:rsidR="008E099C" w:rsidRPr="00A64430" w14:paraId="09F52F27" w14:textId="77777777" w:rsidTr="00B50DC0">
        <w:trPr>
          <w:trHeight w:val="300"/>
        </w:trPr>
        <w:tc>
          <w:tcPr>
            <w:tcW w:w="2203" w:type="dxa"/>
            <w:tcBorders>
              <w:top w:val="single" w:sz="4" w:space="0" w:color="auto"/>
              <w:left w:val="single" w:sz="4" w:space="0" w:color="auto"/>
              <w:bottom w:val="single" w:sz="4" w:space="0" w:color="auto"/>
              <w:right w:val="single" w:sz="4" w:space="0" w:color="auto"/>
            </w:tcBorders>
            <w:shd w:val="clear" w:color="auto" w:fill="auto"/>
            <w:hideMark/>
          </w:tcPr>
          <w:p w14:paraId="1F88280F" w14:textId="77777777" w:rsidR="008E099C" w:rsidRPr="00EE44BD" w:rsidRDefault="008E099C" w:rsidP="00B50DC0">
            <w:pPr>
              <w:spacing w:after="0" w:line="240" w:lineRule="auto"/>
              <w:rPr>
                <w:rFonts w:eastAsia="Times New Roman" w:cs="Times New Roman"/>
                <w:b/>
                <w:color w:val="000000"/>
                <w:szCs w:val="20"/>
              </w:rPr>
            </w:pPr>
            <w:r w:rsidRPr="00EE44BD">
              <w:rPr>
                <w:rFonts w:eastAsia="Times New Roman" w:cs="Times New Roman"/>
                <w:b/>
                <w:color w:val="000000"/>
                <w:szCs w:val="20"/>
              </w:rPr>
              <w:t>Requirement</w:t>
            </w:r>
          </w:p>
        </w:tc>
        <w:tc>
          <w:tcPr>
            <w:tcW w:w="1124" w:type="dxa"/>
            <w:tcBorders>
              <w:top w:val="single" w:sz="4" w:space="0" w:color="auto"/>
              <w:left w:val="nil"/>
              <w:bottom w:val="single" w:sz="4" w:space="0" w:color="auto"/>
              <w:right w:val="single" w:sz="4" w:space="0" w:color="auto"/>
            </w:tcBorders>
            <w:shd w:val="clear" w:color="auto" w:fill="auto"/>
            <w:hideMark/>
          </w:tcPr>
          <w:p w14:paraId="457587D0" w14:textId="77777777" w:rsidR="008E099C" w:rsidRPr="00EE44BD" w:rsidRDefault="008E099C" w:rsidP="00B50DC0">
            <w:pPr>
              <w:spacing w:after="0" w:line="240" w:lineRule="auto"/>
              <w:rPr>
                <w:rFonts w:eastAsia="Times New Roman" w:cs="Times New Roman"/>
                <w:b/>
                <w:color w:val="000000"/>
                <w:szCs w:val="20"/>
              </w:rPr>
            </w:pPr>
            <w:r w:rsidRPr="00EE44BD">
              <w:rPr>
                <w:rFonts w:eastAsia="Times New Roman" w:cs="Times New Roman"/>
                <w:b/>
                <w:color w:val="000000"/>
                <w:szCs w:val="20"/>
              </w:rPr>
              <w:t>Mode</w:t>
            </w:r>
          </w:p>
        </w:tc>
        <w:tc>
          <w:tcPr>
            <w:tcW w:w="5788" w:type="dxa"/>
            <w:gridSpan w:val="2"/>
            <w:tcBorders>
              <w:top w:val="single" w:sz="4" w:space="0" w:color="auto"/>
              <w:left w:val="nil"/>
              <w:bottom w:val="single" w:sz="4" w:space="0" w:color="auto"/>
              <w:right w:val="single" w:sz="4" w:space="0" w:color="auto"/>
            </w:tcBorders>
            <w:shd w:val="clear" w:color="auto" w:fill="auto"/>
            <w:hideMark/>
          </w:tcPr>
          <w:p w14:paraId="48E81186" w14:textId="77777777" w:rsidR="008E099C" w:rsidRPr="00EE44BD" w:rsidRDefault="008E099C" w:rsidP="00B50DC0">
            <w:pPr>
              <w:spacing w:after="0" w:line="240" w:lineRule="auto"/>
              <w:rPr>
                <w:rFonts w:eastAsia="Times New Roman" w:cs="Times New Roman"/>
                <w:b/>
                <w:color w:val="000000"/>
                <w:szCs w:val="20"/>
              </w:rPr>
            </w:pPr>
            <w:r w:rsidRPr="00EE44BD">
              <w:rPr>
                <w:rFonts w:eastAsia="Times New Roman" w:cs="Times New Roman"/>
                <w:b/>
                <w:color w:val="000000"/>
                <w:szCs w:val="20"/>
              </w:rPr>
              <w:t>Description</w:t>
            </w:r>
          </w:p>
        </w:tc>
      </w:tr>
      <w:tr w:rsidR="008E099C" w:rsidRPr="00A64430" w14:paraId="278A949F" w14:textId="77777777" w:rsidTr="00B50DC0">
        <w:trPr>
          <w:trHeight w:val="900"/>
        </w:trPr>
        <w:tc>
          <w:tcPr>
            <w:tcW w:w="2203" w:type="dxa"/>
            <w:vMerge w:val="restart"/>
            <w:tcBorders>
              <w:top w:val="nil"/>
              <w:left w:val="single" w:sz="4" w:space="0" w:color="auto"/>
              <w:bottom w:val="single" w:sz="4" w:space="0" w:color="auto"/>
              <w:right w:val="single" w:sz="4" w:space="0" w:color="auto"/>
            </w:tcBorders>
            <w:shd w:val="clear" w:color="auto" w:fill="auto"/>
            <w:hideMark/>
          </w:tcPr>
          <w:p w14:paraId="1E1EAD1B" w14:textId="77777777" w:rsidR="008E099C" w:rsidRPr="00EE44BD" w:rsidRDefault="008E099C" w:rsidP="00B50DC0">
            <w:pPr>
              <w:spacing w:after="0" w:line="240" w:lineRule="auto"/>
              <w:rPr>
                <w:rFonts w:eastAsia="Times New Roman" w:cs="Times New Roman"/>
                <w:color w:val="000000"/>
                <w:szCs w:val="20"/>
              </w:rPr>
            </w:pPr>
            <w:r w:rsidRPr="00EE44BD">
              <w:rPr>
                <w:rFonts w:eastAsia="Times New Roman" w:cs="Times New Roman"/>
                <w:color w:val="000000"/>
                <w:szCs w:val="20"/>
              </w:rPr>
              <w:t>MAC-CE based switch</w:t>
            </w:r>
          </w:p>
        </w:tc>
        <w:tc>
          <w:tcPr>
            <w:tcW w:w="1124" w:type="dxa"/>
            <w:tcBorders>
              <w:top w:val="nil"/>
              <w:left w:val="single" w:sz="4" w:space="0" w:color="auto"/>
              <w:bottom w:val="single" w:sz="4" w:space="0" w:color="auto"/>
              <w:right w:val="single" w:sz="4" w:space="0" w:color="auto"/>
            </w:tcBorders>
            <w:shd w:val="clear" w:color="auto" w:fill="auto"/>
            <w:hideMark/>
          </w:tcPr>
          <w:p w14:paraId="19E3B8A8" w14:textId="77777777" w:rsidR="008E099C" w:rsidRPr="00EE44BD" w:rsidRDefault="008E099C" w:rsidP="00B50DC0">
            <w:pPr>
              <w:spacing w:after="0" w:line="240" w:lineRule="auto"/>
              <w:rPr>
                <w:rFonts w:eastAsia="Times New Roman" w:cs="Times New Roman"/>
                <w:color w:val="000000"/>
                <w:szCs w:val="20"/>
              </w:rPr>
            </w:pPr>
            <w:r w:rsidRPr="00EE44BD">
              <w:rPr>
                <w:rFonts w:eastAsia="Times New Roman" w:cs="Times New Roman"/>
                <w:color w:val="000000"/>
                <w:szCs w:val="20"/>
              </w:rPr>
              <w:t>PDCCH repetition</w:t>
            </w:r>
          </w:p>
        </w:tc>
        <w:tc>
          <w:tcPr>
            <w:tcW w:w="3614" w:type="dxa"/>
            <w:tcBorders>
              <w:top w:val="single" w:sz="4" w:space="0" w:color="auto"/>
              <w:left w:val="single" w:sz="4" w:space="0" w:color="auto"/>
              <w:bottom w:val="single" w:sz="4" w:space="0" w:color="auto"/>
              <w:right w:val="single" w:sz="4" w:space="0" w:color="auto"/>
            </w:tcBorders>
            <w:shd w:val="clear" w:color="auto" w:fill="auto"/>
            <w:hideMark/>
          </w:tcPr>
          <w:p w14:paraId="502FC252" w14:textId="77777777" w:rsidR="008E099C" w:rsidRPr="00EE44BD" w:rsidRDefault="008E099C" w:rsidP="00B50DC0">
            <w:pPr>
              <w:spacing w:after="0" w:line="240" w:lineRule="auto"/>
              <w:rPr>
                <w:rFonts w:eastAsia="Times New Roman" w:cs="Times New Roman"/>
                <w:color w:val="000000"/>
                <w:szCs w:val="20"/>
              </w:rPr>
            </w:pPr>
            <w:r w:rsidRPr="00EE44BD">
              <w:rPr>
                <w:rFonts w:eastAsia="Times New Roman" w:cs="Times New Roman"/>
                <w:color w:val="000000"/>
                <w:szCs w:val="20"/>
              </w:rPr>
              <w:t>Send MAC-CE for both QCL Type D in the same slot. UE to complete the switch within the delay.</w:t>
            </w:r>
          </w:p>
        </w:tc>
        <w:tc>
          <w:tcPr>
            <w:tcW w:w="2174" w:type="dxa"/>
            <w:tcBorders>
              <w:top w:val="single" w:sz="4" w:space="0" w:color="auto"/>
              <w:left w:val="nil"/>
              <w:bottom w:val="single" w:sz="4" w:space="0" w:color="auto"/>
              <w:right w:val="single" w:sz="4" w:space="0" w:color="auto"/>
            </w:tcBorders>
            <w:shd w:val="clear" w:color="auto" w:fill="auto"/>
            <w:hideMark/>
          </w:tcPr>
          <w:p w14:paraId="533EB3F5" w14:textId="77777777" w:rsidR="008E099C" w:rsidRPr="00EE44BD" w:rsidRDefault="008E099C" w:rsidP="00B50DC0">
            <w:pPr>
              <w:pStyle w:val="ListParagraph"/>
              <w:numPr>
                <w:ilvl w:val="0"/>
                <w:numId w:val="52"/>
              </w:numPr>
              <w:spacing w:after="0" w:line="240" w:lineRule="auto"/>
              <w:rPr>
                <w:rFonts w:eastAsia="Times New Roman" w:cs="Times New Roman"/>
                <w:color w:val="000000"/>
                <w:szCs w:val="20"/>
              </w:rPr>
            </w:pPr>
            <w:r w:rsidRPr="00EE44BD">
              <w:rPr>
                <w:rFonts w:eastAsia="Times New Roman" w:cs="Times New Roman"/>
                <w:color w:val="000000"/>
                <w:szCs w:val="20"/>
              </w:rPr>
              <w:t>Dual to dual</w:t>
            </w:r>
          </w:p>
        </w:tc>
      </w:tr>
      <w:tr w:rsidR="008E099C" w:rsidRPr="00A64430" w14:paraId="23CFEB00" w14:textId="77777777" w:rsidTr="00B50DC0">
        <w:trPr>
          <w:trHeight w:val="1200"/>
        </w:trPr>
        <w:tc>
          <w:tcPr>
            <w:tcW w:w="2203" w:type="dxa"/>
            <w:vMerge/>
            <w:tcBorders>
              <w:top w:val="nil"/>
              <w:left w:val="single" w:sz="4" w:space="0" w:color="auto"/>
              <w:bottom w:val="single" w:sz="4" w:space="0" w:color="auto"/>
              <w:right w:val="single" w:sz="4" w:space="0" w:color="auto"/>
            </w:tcBorders>
            <w:hideMark/>
          </w:tcPr>
          <w:p w14:paraId="0A7470B5" w14:textId="77777777" w:rsidR="008E099C" w:rsidRPr="00EE44BD" w:rsidRDefault="008E099C" w:rsidP="00B50DC0">
            <w:pPr>
              <w:spacing w:after="0" w:line="240" w:lineRule="auto"/>
              <w:rPr>
                <w:rFonts w:eastAsia="Times New Roman" w:cs="Times New Roman"/>
                <w:color w:val="000000"/>
                <w:szCs w:val="20"/>
              </w:rPr>
            </w:pPr>
          </w:p>
        </w:tc>
        <w:tc>
          <w:tcPr>
            <w:tcW w:w="1124" w:type="dxa"/>
            <w:tcBorders>
              <w:top w:val="nil"/>
              <w:left w:val="single" w:sz="4" w:space="0" w:color="auto"/>
              <w:bottom w:val="single" w:sz="4" w:space="0" w:color="auto"/>
              <w:right w:val="single" w:sz="4" w:space="0" w:color="auto"/>
            </w:tcBorders>
            <w:shd w:val="clear" w:color="auto" w:fill="auto"/>
            <w:hideMark/>
          </w:tcPr>
          <w:p w14:paraId="3014742C" w14:textId="77777777" w:rsidR="008E099C" w:rsidRPr="00EE44BD" w:rsidRDefault="008E099C" w:rsidP="00B50DC0">
            <w:pPr>
              <w:spacing w:after="0" w:line="240" w:lineRule="auto"/>
              <w:rPr>
                <w:rFonts w:eastAsia="Times New Roman" w:cs="Times New Roman"/>
                <w:color w:val="000000"/>
                <w:szCs w:val="20"/>
              </w:rPr>
            </w:pPr>
            <w:r w:rsidRPr="00EE44BD">
              <w:rPr>
                <w:rFonts w:eastAsia="Times New Roman" w:cs="Times New Roman"/>
                <w:color w:val="000000"/>
                <w:szCs w:val="20"/>
              </w:rPr>
              <w:t>m-DCI</w:t>
            </w:r>
          </w:p>
        </w:tc>
        <w:tc>
          <w:tcPr>
            <w:tcW w:w="3614" w:type="dxa"/>
            <w:tcBorders>
              <w:top w:val="single" w:sz="4" w:space="0" w:color="auto"/>
              <w:left w:val="single" w:sz="4" w:space="0" w:color="auto"/>
              <w:bottom w:val="single" w:sz="4" w:space="0" w:color="auto"/>
              <w:right w:val="single" w:sz="4" w:space="0" w:color="auto"/>
            </w:tcBorders>
            <w:shd w:val="clear" w:color="auto" w:fill="auto"/>
            <w:hideMark/>
          </w:tcPr>
          <w:p w14:paraId="1BB97A1A" w14:textId="77777777" w:rsidR="008E099C" w:rsidRPr="00EE44BD" w:rsidRDefault="008E099C" w:rsidP="00B50DC0">
            <w:pPr>
              <w:spacing w:after="0" w:line="240" w:lineRule="auto"/>
              <w:rPr>
                <w:rFonts w:eastAsia="Times New Roman" w:cs="Times New Roman"/>
                <w:color w:val="000000"/>
                <w:szCs w:val="20"/>
              </w:rPr>
            </w:pPr>
            <w:r w:rsidRPr="00EE44BD">
              <w:rPr>
                <w:rFonts w:eastAsia="Times New Roman" w:cs="Times New Roman"/>
                <w:color w:val="000000"/>
                <w:szCs w:val="20"/>
              </w:rPr>
              <w:t xml:space="preserve">Send MAC-CE for both QCL Type D in slots that are less than MAC-CE based switching delay apart from each other. UE to receive </w:t>
            </w:r>
            <w:r>
              <w:rPr>
                <w:rFonts w:eastAsia="Times New Roman" w:cs="Times New Roman"/>
                <w:color w:val="000000"/>
                <w:szCs w:val="20"/>
              </w:rPr>
              <w:t>with the target TCI states</w:t>
            </w:r>
            <w:r w:rsidRPr="00EE44BD">
              <w:rPr>
                <w:rFonts w:eastAsia="Times New Roman" w:cs="Times New Roman"/>
                <w:color w:val="000000"/>
                <w:szCs w:val="20"/>
              </w:rPr>
              <w:t xml:space="preserve"> after both switches are complete.</w:t>
            </w:r>
          </w:p>
        </w:tc>
        <w:tc>
          <w:tcPr>
            <w:tcW w:w="2174" w:type="dxa"/>
            <w:tcBorders>
              <w:top w:val="single" w:sz="4" w:space="0" w:color="auto"/>
              <w:left w:val="nil"/>
              <w:bottom w:val="single" w:sz="4" w:space="0" w:color="auto"/>
              <w:right w:val="single" w:sz="4" w:space="0" w:color="auto"/>
            </w:tcBorders>
            <w:shd w:val="clear" w:color="auto" w:fill="auto"/>
            <w:hideMark/>
          </w:tcPr>
          <w:p w14:paraId="358E012D" w14:textId="77777777" w:rsidR="008E099C" w:rsidRPr="00EE44BD" w:rsidRDefault="008E099C" w:rsidP="00B50DC0">
            <w:pPr>
              <w:pStyle w:val="ListParagraph"/>
              <w:numPr>
                <w:ilvl w:val="0"/>
                <w:numId w:val="51"/>
              </w:numPr>
              <w:spacing w:after="0" w:line="240" w:lineRule="auto"/>
              <w:rPr>
                <w:rFonts w:eastAsia="Times New Roman" w:cs="Times New Roman"/>
                <w:color w:val="000000"/>
                <w:szCs w:val="20"/>
              </w:rPr>
            </w:pPr>
            <w:r w:rsidRPr="00EE44BD">
              <w:rPr>
                <w:rFonts w:eastAsia="Times New Roman" w:cs="Times New Roman"/>
                <w:color w:val="000000"/>
                <w:szCs w:val="20"/>
              </w:rPr>
              <w:t>Dual to dual</w:t>
            </w:r>
          </w:p>
        </w:tc>
      </w:tr>
      <w:tr w:rsidR="008E099C" w:rsidRPr="00A64430" w14:paraId="64F6142B" w14:textId="77777777" w:rsidTr="00B50DC0">
        <w:trPr>
          <w:trHeight w:val="900"/>
        </w:trPr>
        <w:tc>
          <w:tcPr>
            <w:tcW w:w="2203" w:type="dxa"/>
            <w:vMerge w:val="restart"/>
            <w:tcBorders>
              <w:top w:val="nil"/>
              <w:left w:val="single" w:sz="4" w:space="0" w:color="auto"/>
              <w:bottom w:val="single" w:sz="4" w:space="0" w:color="auto"/>
              <w:right w:val="single" w:sz="4" w:space="0" w:color="auto"/>
            </w:tcBorders>
            <w:shd w:val="clear" w:color="auto" w:fill="auto"/>
            <w:hideMark/>
          </w:tcPr>
          <w:p w14:paraId="7A7715B2" w14:textId="77777777" w:rsidR="008E099C" w:rsidRPr="00EE44BD" w:rsidRDefault="008E099C" w:rsidP="00B50DC0">
            <w:pPr>
              <w:spacing w:after="0" w:line="240" w:lineRule="auto"/>
              <w:rPr>
                <w:rFonts w:eastAsia="Times New Roman" w:cs="Times New Roman"/>
                <w:szCs w:val="20"/>
              </w:rPr>
            </w:pPr>
            <w:r w:rsidRPr="00EE44BD">
              <w:rPr>
                <w:rFonts w:eastAsia="Times New Roman" w:cs="Times New Roman"/>
                <w:szCs w:val="20"/>
              </w:rPr>
              <w:t>Active TCI state list update + DCI-based switch</w:t>
            </w:r>
          </w:p>
        </w:tc>
        <w:tc>
          <w:tcPr>
            <w:tcW w:w="1124" w:type="dxa"/>
            <w:tcBorders>
              <w:top w:val="nil"/>
              <w:left w:val="single" w:sz="4" w:space="0" w:color="auto"/>
              <w:bottom w:val="single" w:sz="4" w:space="0" w:color="auto"/>
              <w:right w:val="single" w:sz="4" w:space="0" w:color="auto"/>
            </w:tcBorders>
            <w:shd w:val="clear" w:color="auto" w:fill="auto"/>
            <w:hideMark/>
          </w:tcPr>
          <w:p w14:paraId="45883E6E" w14:textId="77777777" w:rsidR="008E099C" w:rsidRPr="00EE44BD" w:rsidRDefault="008E099C" w:rsidP="00B50DC0">
            <w:pPr>
              <w:spacing w:after="0" w:line="240" w:lineRule="auto"/>
              <w:rPr>
                <w:rFonts w:eastAsia="Times New Roman" w:cs="Times New Roman"/>
                <w:szCs w:val="20"/>
              </w:rPr>
            </w:pPr>
            <w:r w:rsidRPr="00EE44BD">
              <w:rPr>
                <w:rFonts w:eastAsia="Times New Roman" w:cs="Times New Roman"/>
                <w:szCs w:val="20"/>
              </w:rPr>
              <w:t>s-DCI</w:t>
            </w:r>
          </w:p>
        </w:tc>
        <w:tc>
          <w:tcPr>
            <w:tcW w:w="3614" w:type="dxa"/>
            <w:tcBorders>
              <w:top w:val="single" w:sz="4" w:space="0" w:color="auto"/>
              <w:left w:val="single" w:sz="4" w:space="0" w:color="auto"/>
              <w:bottom w:val="single" w:sz="4" w:space="0" w:color="auto"/>
              <w:right w:val="single" w:sz="4" w:space="0" w:color="auto"/>
            </w:tcBorders>
            <w:shd w:val="clear" w:color="auto" w:fill="auto"/>
            <w:hideMark/>
          </w:tcPr>
          <w:p w14:paraId="16CFEA0A" w14:textId="77777777" w:rsidR="008E099C" w:rsidRPr="00EE44BD" w:rsidRDefault="008E099C" w:rsidP="00B50DC0">
            <w:pPr>
              <w:spacing w:after="0" w:line="240" w:lineRule="auto"/>
              <w:rPr>
                <w:rFonts w:eastAsia="Times New Roman" w:cs="Times New Roman"/>
                <w:szCs w:val="20"/>
              </w:rPr>
            </w:pPr>
            <w:r w:rsidRPr="00EE44BD">
              <w:rPr>
                <w:rFonts w:eastAsia="Times New Roman" w:cs="Times New Roman"/>
                <w:szCs w:val="20"/>
              </w:rPr>
              <w:t xml:space="preserve">Send one MAC-CE to activate </w:t>
            </w:r>
            <w:r w:rsidRPr="00686835">
              <w:rPr>
                <w:rFonts w:eastAsia="Times New Roman" w:cs="Times New Roman"/>
                <w:szCs w:val="20"/>
              </w:rPr>
              <w:t>dual TCI states</w:t>
            </w:r>
            <w:r w:rsidRPr="00EE44BD">
              <w:rPr>
                <w:rFonts w:eastAsia="Times New Roman" w:cs="Times New Roman"/>
                <w:szCs w:val="20"/>
              </w:rPr>
              <w:t xml:space="preserve">, followed by DCI indicating </w:t>
            </w:r>
            <w:r w:rsidRPr="00686835">
              <w:rPr>
                <w:rFonts w:eastAsia="Times New Roman" w:cs="Times New Roman"/>
                <w:szCs w:val="20"/>
              </w:rPr>
              <w:t>the codepoint with these TCI states</w:t>
            </w:r>
            <w:r w:rsidRPr="00EE44BD">
              <w:rPr>
                <w:rFonts w:eastAsia="Times New Roman" w:cs="Times New Roman"/>
                <w:szCs w:val="20"/>
              </w:rPr>
              <w:t>.</w:t>
            </w:r>
          </w:p>
        </w:tc>
        <w:tc>
          <w:tcPr>
            <w:tcW w:w="2174" w:type="dxa"/>
            <w:tcBorders>
              <w:top w:val="single" w:sz="4" w:space="0" w:color="auto"/>
              <w:left w:val="nil"/>
              <w:bottom w:val="single" w:sz="4" w:space="0" w:color="auto"/>
              <w:right w:val="single" w:sz="4" w:space="0" w:color="auto"/>
            </w:tcBorders>
            <w:shd w:val="clear" w:color="auto" w:fill="auto"/>
            <w:hideMark/>
          </w:tcPr>
          <w:p w14:paraId="41524093" w14:textId="77777777" w:rsidR="008E099C" w:rsidRPr="00EE44BD" w:rsidRDefault="008E099C" w:rsidP="00B50DC0">
            <w:pPr>
              <w:pStyle w:val="ListParagraph"/>
              <w:numPr>
                <w:ilvl w:val="0"/>
                <w:numId w:val="50"/>
              </w:numPr>
              <w:spacing w:after="0" w:line="240" w:lineRule="auto"/>
              <w:rPr>
                <w:rFonts w:eastAsia="Times New Roman" w:cs="Times New Roman"/>
                <w:szCs w:val="20"/>
              </w:rPr>
            </w:pPr>
            <w:r w:rsidRPr="00EE44BD">
              <w:rPr>
                <w:rFonts w:eastAsia="Times New Roman" w:cs="Times New Roman"/>
                <w:szCs w:val="20"/>
              </w:rPr>
              <w:t>Dual to single (where target TCI state is one of the source TCI states)</w:t>
            </w:r>
          </w:p>
          <w:p w14:paraId="0B84110F" w14:textId="77777777" w:rsidR="008E099C" w:rsidRPr="00EE44BD" w:rsidRDefault="008E099C" w:rsidP="00B50DC0">
            <w:pPr>
              <w:pStyle w:val="ListParagraph"/>
              <w:numPr>
                <w:ilvl w:val="0"/>
                <w:numId w:val="50"/>
              </w:numPr>
              <w:spacing w:after="0" w:line="240" w:lineRule="auto"/>
              <w:rPr>
                <w:rFonts w:eastAsia="Times New Roman" w:cs="Times New Roman"/>
                <w:szCs w:val="20"/>
              </w:rPr>
            </w:pPr>
            <w:r w:rsidRPr="00EE44BD">
              <w:rPr>
                <w:rFonts w:eastAsia="Times New Roman" w:cs="Times New Roman"/>
                <w:szCs w:val="20"/>
              </w:rPr>
              <w:t>Single to dual</w:t>
            </w:r>
          </w:p>
          <w:p w14:paraId="648F3521" w14:textId="77777777" w:rsidR="008E099C" w:rsidRPr="00EE44BD" w:rsidRDefault="008E099C" w:rsidP="00B50DC0">
            <w:pPr>
              <w:pStyle w:val="ListParagraph"/>
              <w:numPr>
                <w:ilvl w:val="0"/>
                <w:numId w:val="50"/>
              </w:numPr>
              <w:spacing w:after="0" w:line="240" w:lineRule="auto"/>
              <w:rPr>
                <w:rFonts w:eastAsia="Times New Roman" w:cs="Times New Roman"/>
                <w:szCs w:val="20"/>
              </w:rPr>
            </w:pPr>
            <w:r w:rsidRPr="00EE44BD">
              <w:rPr>
                <w:rFonts w:eastAsia="Times New Roman" w:cs="Times New Roman"/>
                <w:szCs w:val="20"/>
              </w:rPr>
              <w:t>Dual to dual</w:t>
            </w:r>
          </w:p>
        </w:tc>
      </w:tr>
      <w:tr w:rsidR="008E099C" w:rsidRPr="00A64430" w14:paraId="49CF221A" w14:textId="77777777" w:rsidTr="00B50DC0">
        <w:trPr>
          <w:trHeight w:val="900"/>
        </w:trPr>
        <w:tc>
          <w:tcPr>
            <w:tcW w:w="2203" w:type="dxa"/>
            <w:vMerge/>
            <w:tcBorders>
              <w:top w:val="nil"/>
              <w:left w:val="single" w:sz="4" w:space="0" w:color="auto"/>
              <w:bottom w:val="single" w:sz="4" w:space="0" w:color="auto"/>
              <w:right w:val="single" w:sz="4" w:space="0" w:color="auto"/>
            </w:tcBorders>
            <w:hideMark/>
          </w:tcPr>
          <w:p w14:paraId="4F70A603" w14:textId="77777777" w:rsidR="008E099C" w:rsidRPr="00EE44BD" w:rsidRDefault="008E099C" w:rsidP="00B50DC0">
            <w:pPr>
              <w:spacing w:after="0" w:line="240" w:lineRule="auto"/>
              <w:rPr>
                <w:rFonts w:eastAsia="Times New Roman" w:cs="Times New Roman"/>
                <w:szCs w:val="20"/>
              </w:rPr>
            </w:pPr>
          </w:p>
        </w:tc>
        <w:tc>
          <w:tcPr>
            <w:tcW w:w="1124" w:type="dxa"/>
            <w:tcBorders>
              <w:top w:val="nil"/>
              <w:left w:val="single" w:sz="4" w:space="0" w:color="auto"/>
              <w:bottom w:val="single" w:sz="4" w:space="0" w:color="auto"/>
              <w:right w:val="single" w:sz="4" w:space="0" w:color="auto"/>
            </w:tcBorders>
            <w:shd w:val="clear" w:color="auto" w:fill="auto"/>
            <w:hideMark/>
          </w:tcPr>
          <w:p w14:paraId="2F9DAC9D" w14:textId="77777777" w:rsidR="008E099C" w:rsidRPr="00EE44BD" w:rsidRDefault="008E099C" w:rsidP="00B50DC0">
            <w:pPr>
              <w:spacing w:after="0" w:line="240" w:lineRule="auto"/>
              <w:rPr>
                <w:rFonts w:eastAsia="Times New Roman" w:cs="Times New Roman"/>
                <w:szCs w:val="20"/>
              </w:rPr>
            </w:pPr>
            <w:r w:rsidRPr="00EE44BD">
              <w:rPr>
                <w:rFonts w:eastAsia="Times New Roman" w:cs="Times New Roman"/>
                <w:szCs w:val="20"/>
              </w:rPr>
              <w:t>m-DCI</w:t>
            </w:r>
          </w:p>
        </w:tc>
        <w:tc>
          <w:tcPr>
            <w:tcW w:w="3614" w:type="dxa"/>
            <w:tcBorders>
              <w:top w:val="single" w:sz="4" w:space="0" w:color="auto"/>
              <w:left w:val="single" w:sz="4" w:space="0" w:color="auto"/>
              <w:bottom w:val="single" w:sz="4" w:space="0" w:color="auto"/>
              <w:right w:val="single" w:sz="4" w:space="0" w:color="auto"/>
            </w:tcBorders>
            <w:shd w:val="clear" w:color="auto" w:fill="auto"/>
            <w:hideMark/>
          </w:tcPr>
          <w:p w14:paraId="4EF3CF9C" w14:textId="77777777" w:rsidR="008E099C" w:rsidRPr="00EE44BD" w:rsidRDefault="008E099C" w:rsidP="00B50DC0">
            <w:pPr>
              <w:spacing w:after="0" w:line="240" w:lineRule="auto"/>
              <w:rPr>
                <w:rFonts w:eastAsia="Times New Roman" w:cs="Times New Roman"/>
                <w:szCs w:val="20"/>
              </w:rPr>
            </w:pPr>
            <w:r w:rsidRPr="00EE44BD">
              <w:rPr>
                <w:rFonts w:eastAsia="Times New Roman" w:cs="Times New Roman"/>
                <w:szCs w:val="20"/>
              </w:rPr>
              <w:t xml:space="preserve">Send two MAC-CEs to activate </w:t>
            </w:r>
            <w:r w:rsidRPr="00686835">
              <w:rPr>
                <w:rFonts w:eastAsia="Times New Roman" w:cs="Times New Roman"/>
                <w:szCs w:val="20"/>
              </w:rPr>
              <w:t>dual TCI states</w:t>
            </w:r>
            <w:r w:rsidRPr="00EE44BD">
              <w:rPr>
                <w:rFonts w:eastAsia="Times New Roman" w:cs="Times New Roman"/>
                <w:szCs w:val="20"/>
              </w:rPr>
              <w:t xml:space="preserve">, followed by two DCIs indicating </w:t>
            </w:r>
            <w:r w:rsidRPr="00686835">
              <w:rPr>
                <w:rFonts w:eastAsia="Times New Roman" w:cs="Times New Roman"/>
                <w:szCs w:val="20"/>
              </w:rPr>
              <w:t>the codepoints with these TCI states</w:t>
            </w:r>
            <w:r w:rsidRPr="00EE44BD">
              <w:rPr>
                <w:rFonts w:eastAsia="Times New Roman" w:cs="Times New Roman"/>
                <w:szCs w:val="20"/>
              </w:rPr>
              <w:t>.</w:t>
            </w:r>
          </w:p>
        </w:tc>
        <w:tc>
          <w:tcPr>
            <w:tcW w:w="2174" w:type="dxa"/>
            <w:tcBorders>
              <w:top w:val="single" w:sz="4" w:space="0" w:color="auto"/>
              <w:left w:val="nil"/>
              <w:bottom w:val="single" w:sz="4" w:space="0" w:color="auto"/>
              <w:right w:val="single" w:sz="4" w:space="0" w:color="auto"/>
            </w:tcBorders>
            <w:shd w:val="clear" w:color="auto" w:fill="auto"/>
            <w:hideMark/>
          </w:tcPr>
          <w:p w14:paraId="7A7085EF" w14:textId="77777777" w:rsidR="008E099C" w:rsidRPr="00EE44BD" w:rsidRDefault="008E099C" w:rsidP="00B50DC0">
            <w:pPr>
              <w:pStyle w:val="ListParagraph"/>
              <w:numPr>
                <w:ilvl w:val="0"/>
                <w:numId w:val="49"/>
              </w:numPr>
              <w:spacing w:after="0" w:line="240" w:lineRule="auto"/>
              <w:rPr>
                <w:rFonts w:eastAsia="Times New Roman" w:cs="Times New Roman"/>
                <w:szCs w:val="20"/>
              </w:rPr>
            </w:pPr>
            <w:r w:rsidRPr="00EE44BD">
              <w:rPr>
                <w:rFonts w:eastAsia="Times New Roman" w:cs="Times New Roman"/>
                <w:szCs w:val="20"/>
              </w:rPr>
              <w:t>Dual to dual</w:t>
            </w:r>
          </w:p>
        </w:tc>
      </w:tr>
      <w:tr w:rsidR="008E099C" w:rsidRPr="00A64430" w14:paraId="2C20BEC8" w14:textId="77777777" w:rsidTr="00B50DC0">
        <w:trPr>
          <w:trHeight w:val="300"/>
        </w:trPr>
        <w:tc>
          <w:tcPr>
            <w:tcW w:w="2203" w:type="dxa"/>
            <w:vMerge w:val="restart"/>
            <w:tcBorders>
              <w:top w:val="nil"/>
              <w:left w:val="single" w:sz="4" w:space="0" w:color="auto"/>
              <w:bottom w:val="single" w:sz="4" w:space="0" w:color="auto"/>
              <w:right w:val="single" w:sz="4" w:space="0" w:color="auto"/>
            </w:tcBorders>
            <w:shd w:val="clear" w:color="auto" w:fill="auto"/>
            <w:hideMark/>
          </w:tcPr>
          <w:p w14:paraId="2A5C1816" w14:textId="77777777" w:rsidR="008E099C" w:rsidRPr="00EE44BD" w:rsidRDefault="008E099C" w:rsidP="00B50DC0">
            <w:pPr>
              <w:spacing w:after="0" w:line="240" w:lineRule="auto"/>
              <w:rPr>
                <w:rFonts w:eastAsia="Times New Roman" w:cs="Times New Roman"/>
                <w:szCs w:val="20"/>
              </w:rPr>
            </w:pPr>
            <w:r w:rsidRPr="00EE44BD">
              <w:rPr>
                <w:rFonts w:eastAsia="Times New Roman" w:cs="Times New Roman"/>
                <w:szCs w:val="20"/>
              </w:rPr>
              <w:lastRenderedPageBreak/>
              <w:t>RLM</w:t>
            </w:r>
          </w:p>
        </w:tc>
        <w:tc>
          <w:tcPr>
            <w:tcW w:w="1124" w:type="dxa"/>
            <w:vMerge w:val="restart"/>
            <w:tcBorders>
              <w:top w:val="nil"/>
              <w:left w:val="single" w:sz="4" w:space="0" w:color="auto"/>
              <w:bottom w:val="single" w:sz="4" w:space="0" w:color="auto"/>
              <w:right w:val="single" w:sz="4" w:space="0" w:color="auto"/>
            </w:tcBorders>
            <w:shd w:val="clear" w:color="auto" w:fill="auto"/>
            <w:hideMark/>
          </w:tcPr>
          <w:p w14:paraId="2A14D943" w14:textId="77777777" w:rsidR="008E099C" w:rsidRPr="00EE44BD" w:rsidRDefault="008E099C" w:rsidP="00B50DC0">
            <w:pPr>
              <w:spacing w:after="0" w:line="240" w:lineRule="auto"/>
              <w:rPr>
                <w:rFonts w:eastAsia="Times New Roman" w:cs="Times New Roman"/>
                <w:szCs w:val="20"/>
              </w:rPr>
            </w:pPr>
            <w:r w:rsidRPr="00EE44BD">
              <w:rPr>
                <w:rFonts w:eastAsia="Times New Roman" w:cs="Times New Roman"/>
                <w:szCs w:val="20"/>
              </w:rPr>
              <w:t>s-DCI</w:t>
            </w:r>
          </w:p>
        </w:tc>
        <w:tc>
          <w:tcPr>
            <w:tcW w:w="5788" w:type="dxa"/>
            <w:gridSpan w:val="2"/>
            <w:tcBorders>
              <w:top w:val="single" w:sz="4" w:space="0" w:color="auto"/>
              <w:left w:val="nil"/>
              <w:bottom w:val="single" w:sz="4" w:space="0" w:color="auto"/>
              <w:right w:val="single" w:sz="4" w:space="0" w:color="auto"/>
            </w:tcBorders>
            <w:shd w:val="clear" w:color="auto" w:fill="auto"/>
            <w:hideMark/>
          </w:tcPr>
          <w:p w14:paraId="7CDFADF0" w14:textId="77777777" w:rsidR="008E099C" w:rsidRPr="00EE44BD" w:rsidRDefault="008E099C" w:rsidP="00B50DC0">
            <w:pPr>
              <w:spacing w:after="0" w:line="240" w:lineRule="auto"/>
              <w:rPr>
                <w:rFonts w:eastAsia="Times New Roman" w:cs="Times New Roman"/>
                <w:szCs w:val="20"/>
              </w:rPr>
            </w:pPr>
            <w:r w:rsidRPr="00EE44BD">
              <w:rPr>
                <w:rFonts w:eastAsia="Times New Roman" w:cs="Times New Roman"/>
                <w:szCs w:val="20"/>
              </w:rPr>
              <w:t>Out-of-sync with reduced N (SSB-based, no DRX))</w:t>
            </w:r>
          </w:p>
        </w:tc>
      </w:tr>
      <w:tr w:rsidR="008E099C" w:rsidRPr="00A64430" w14:paraId="63D6B85D" w14:textId="77777777" w:rsidTr="00B50DC0">
        <w:trPr>
          <w:trHeight w:val="300"/>
        </w:trPr>
        <w:tc>
          <w:tcPr>
            <w:tcW w:w="2203" w:type="dxa"/>
            <w:vMerge/>
            <w:tcBorders>
              <w:top w:val="nil"/>
              <w:left w:val="single" w:sz="4" w:space="0" w:color="auto"/>
              <w:bottom w:val="single" w:sz="4" w:space="0" w:color="auto"/>
              <w:right w:val="single" w:sz="4" w:space="0" w:color="auto"/>
            </w:tcBorders>
            <w:hideMark/>
          </w:tcPr>
          <w:p w14:paraId="7F43DC63" w14:textId="77777777" w:rsidR="008E099C" w:rsidRPr="00EE44BD" w:rsidRDefault="008E099C" w:rsidP="00B50DC0">
            <w:pPr>
              <w:spacing w:after="0" w:line="240" w:lineRule="auto"/>
              <w:rPr>
                <w:rFonts w:eastAsia="Times New Roman" w:cs="Times New Roman"/>
                <w:szCs w:val="20"/>
              </w:rPr>
            </w:pPr>
          </w:p>
        </w:tc>
        <w:tc>
          <w:tcPr>
            <w:tcW w:w="1124" w:type="dxa"/>
            <w:vMerge/>
            <w:tcBorders>
              <w:top w:val="nil"/>
              <w:left w:val="single" w:sz="4" w:space="0" w:color="auto"/>
              <w:bottom w:val="single" w:sz="4" w:space="0" w:color="auto"/>
              <w:right w:val="single" w:sz="4" w:space="0" w:color="auto"/>
            </w:tcBorders>
            <w:hideMark/>
          </w:tcPr>
          <w:p w14:paraId="696ACB15" w14:textId="77777777" w:rsidR="008E099C" w:rsidRPr="00EE44BD" w:rsidRDefault="008E099C" w:rsidP="00B50DC0">
            <w:pPr>
              <w:spacing w:after="0" w:line="240" w:lineRule="auto"/>
              <w:rPr>
                <w:rFonts w:eastAsia="Times New Roman" w:cs="Times New Roman"/>
                <w:szCs w:val="20"/>
              </w:rPr>
            </w:pPr>
          </w:p>
        </w:tc>
        <w:tc>
          <w:tcPr>
            <w:tcW w:w="5788" w:type="dxa"/>
            <w:gridSpan w:val="2"/>
            <w:tcBorders>
              <w:top w:val="single" w:sz="4" w:space="0" w:color="auto"/>
              <w:left w:val="nil"/>
              <w:bottom w:val="single" w:sz="4" w:space="0" w:color="auto"/>
              <w:right w:val="single" w:sz="4" w:space="0" w:color="auto"/>
            </w:tcBorders>
            <w:shd w:val="clear" w:color="auto" w:fill="auto"/>
            <w:hideMark/>
          </w:tcPr>
          <w:p w14:paraId="40FDCE0E" w14:textId="77777777" w:rsidR="008E099C" w:rsidRPr="00EE44BD" w:rsidRDefault="008E099C" w:rsidP="00B50DC0">
            <w:pPr>
              <w:spacing w:after="0" w:line="240" w:lineRule="auto"/>
              <w:rPr>
                <w:rFonts w:eastAsia="Times New Roman" w:cs="Times New Roman"/>
                <w:szCs w:val="20"/>
              </w:rPr>
            </w:pPr>
            <w:r w:rsidRPr="00EE44BD">
              <w:rPr>
                <w:rFonts w:eastAsia="Times New Roman" w:cs="Times New Roman"/>
                <w:szCs w:val="20"/>
              </w:rPr>
              <w:t>In-sync with reduced N (SSB-based, no DRX)</w:t>
            </w:r>
          </w:p>
        </w:tc>
      </w:tr>
      <w:tr w:rsidR="008E099C" w:rsidRPr="00A64430" w14:paraId="20CBC6A4" w14:textId="77777777" w:rsidTr="00B50DC0">
        <w:trPr>
          <w:trHeight w:val="300"/>
        </w:trPr>
        <w:tc>
          <w:tcPr>
            <w:tcW w:w="2203" w:type="dxa"/>
            <w:vMerge/>
            <w:tcBorders>
              <w:top w:val="nil"/>
              <w:left w:val="single" w:sz="4" w:space="0" w:color="auto"/>
              <w:bottom w:val="single" w:sz="4" w:space="0" w:color="auto"/>
              <w:right w:val="single" w:sz="4" w:space="0" w:color="auto"/>
            </w:tcBorders>
            <w:hideMark/>
          </w:tcPr>
          <w:p w14:paraId="3F6BBA5A" w14:textId="77777777" w:rsidR="008E099C" w:rsidRPr="00EE44BD" w:rsidRDefault="008E099C" w:rsidP="00B50DC0">
            <w:pPr>
              <w:spacing w:after="0" w:line="240" w:lineRule="auto"/>
              <w:rPr>
                <w:rFonts w:eastAsia="Times New Roman" w:cs="Times New Roman"/>
                <w:szCs w:val="20"/>
              </w:rPr>
            </w:pPr>
          </w:p>
        </w:tc>
        <w:tc>
          <w:tcPr>
            <w:tcW w:w="1124" w:type="dxa"/>
            <w:vMerge/>
            <w:tcBorders>
              <w:top w:val="nil"/>
              <w:left w:val="single" w:sz="4" w:space="0" w:color="auto"/>
              <w:bottom w:val="single" w:sz="4" w:space="0" w:color="auto"/>
              <w:right w:val="single" w:sz="4" w:space="0" w:color="auto"/>
            </w:tcBorders>
            <w:hideMark/>
          </w:tcPr>
          <w:p w14:paraId="22D8DE1F" w14:textId="77777777" w:rsidR="008E099C" w:rsidRPr="00EE44BD" w:rsidRDefault="008E099C" w:rsidP="00B50DC0">
            <w:pPr>
              <w:spacing w:after="0" w:line="240" w:lineRule="auto"/>
              <w:rPr>
                <w:rFonts w:eastAsia="Times New Roman" w:cs="Times New Roman"/>
                <w:szCs w:val="20"/>
              </w:rPr>
            </w:pPr>
          </w:p>
        </w:tc>
        <w:tc>
          <w:tcPr>
            <w:tcW w:w="5788" w:type="dxa"/>
            <w:gridSpan w:val="2"/>
            <w:tcBorders>
              <w:top w:val="single" w:sz="4" w:space="0" w:color="auto"/>
              <w:left w:val="nil"/>
              <w:bottom w:val="single" w:sz="4" w:space="0" w:color="auto"/>
              <w:right w:val="single" w:sz="4" w:space="0" w:color="auto"/>
            </w:tcBorders>
            <w:shd w:val="clear" w:color="auto" w:fill="auto"/>
            <w:hideMark/>
          </w:tcPr>
          <w:p w14:paraId="74CE136A" w14:textId="77777777" w:rsidR="008E099C" w:rsidRPr="00EE44BD" w:rsidRDefault="008E099C" w:rsidP="00B50DC0">
            <w:pPr>
              <w:spacing w:after="0" w:line="240" w:lineRule="auto"/>
              <w:rPr>
                <w:rFonts w:eastAsia="Times New Roman" w:cs="Times New Roman"/>
                <w:szCs w:val="20"/>
              </w:rPr>
            </w:pPr>
            <w:r w:rsidRPr="00EE44BD">
              <w:rPr>
                <w:rFonts w:eastAsia="Times New Roman" w:cs="Times New Roman"/>
                <w:szCs w:val="20"/>
              </w:rPr>
              <w:t>Scheduling restrictions (CSI-RS based)</w:t>
            </w:r>
          </w:p>
        </w:tc>
      </w:tr>
      <w:tr w:rsidR="008E099C" w:rsidRPr="00A64430" w14:paraId="7D7258A2" w14:textId="77777777" w:rsidTr="00B50DC0">
        <w:trPr>
          <w:trHeight w:val="300"/>
        </w:trPr>
        <w:tc>
          <w:tcPr>
            <w:tcW w:w="2203" w:type="dxa"/>
            <w:vMerge/>
            <w:tcBorders>
              <w:top w:val="nil"/>
              <w:left w:val="single" w:sz="4" w:space="0" w:color="auto"/>
              <w:bottom w:val="single" w:sz="4" w:space="0" w:color="auto"/>
              <w:right w:val="single" w:sz="4" w:space="0" w:color="auto"/>
            </w:tcBorders>
            <w:hideMark/>
          </w:tcPr>
          <w:p w14:paraId="4490423E" w14:textId="77777777" w:rsidR="008E099C" w:rsidRPr="00EE44BD" w:rsidRDefault="008E099C" w:rsidP="00B50DC0">
            <w:pPr>
              <w:spacing w:after="0" w:line="240" w:lineRule="auto"/>
              <w:rPr>
                <w:rFonts w:eastAsia="Times New Roman" w:cs="Times New Roman"/>
                <w:szCs w:val="20"/>
              </w:rPr>
            </w:pPr>
          </w:p>
        </w:tc>
        <w:tc>
          <w:tcPr>
            <w:tcW w:w="1124" w:type="dxa"/>
            <w:vMerge/>
            <w:tcBorders>
              <w:top w:val="nil"/>
              <w:left w:val="single" w:sz="4" w:space="0" w:color="auto"/>
              <w:bottom w:val="single" w:sz="4" w:space="0" w:color="auto"/>
              <w:right w:val="single" w:sz="4" w:space="0" w:color="auto"/>
            </w:tcBorders>
            <w:hideMark/>
          </w:tcPr>
          <w:p w14:paraId="6D4A14FE" w14:textId="77777777" w:rsidR="008E099C" w:rsidRPr="00EE44BD" w:rsidRDefault="008E099C" w:rsidP="00B50DC0">
            <w:pPr>
              <w:spacing w:after="0" w:line="240" w:lineRule="auto"/>
              <w:rPr>
                <w:rFonts w:eastAsia="Times New Roman" w:cs="Times New Roman"/>
                <w:szCs w:val="20"/>
              </w:rPr>
            </w:pPr>
          </w:p>
        </w:tc>
        <w:tc>
          <w:tcPr>
            <w:tcW w:w="5788" w:type="dxa"/>
            <w:gridSpan w:val="2"/>
            <w:tcBorders>
              <w:top w:val="single" w:sz="4" w:space="0" w:color="auto"/>
              <w:left w:val="nil"/>
              <w:bottom w:val="single" w:sz="4" w:space="0" w:color="auto"/>
              <w:right w:val="single" w:sz="4" w:space="0" w:color="auto"/>
            </w:tcBorders>
            <w:shd w:val="clear" w:color="auto" w:fill="auto"/>
            <w:hideMark/>
          </w:tcPr>
          <w:p w14:paraId="4E14579F" w14:textId="77777777" w:rsidR="008E099C" w:rsidRPr="00EE44BD" w:rsidRDefault="008E099C" w:rsidP="00B50DC0">
            <w:pPr>
              <w:spacing w:after="0" w:line="240" w:lineRule="auto"/>
              <w:rPr>
                <w:rFonts w:eastAsia="Times New Roman" w:cs="Times New Roman"/>
                <w:szCs w:val="20"/>
              </w:rPr>
            </w:pPr>
            <w:r w:rsidRPr="00EE44BD">
              <w:rPr>
                <w:rFonts w:eastAsia="Times New Roman" w:cs="Times New Roman"/>
                <w:szCs w:val="20"/>
              </w:rPr>
              <w:t>Measurement restrictions (CSI-RS based)</w:t>
            </w:r>
          </w:p>
        </w:tc>
      </w:tr>
      <w:tr w:rsidR="008E099C" w:rsidRPr="00A64430" w14:paraId="608B9363" w14:textId="77777777" w:rsidTr="00B50DC0">
        <w:trPr>
          <w:trHeight w:val="300"/>
        </w:trPr>
        <w:tc>
          <w:tcPr>
            <w:tcW w:w="2203" w:type="dxa"/>
            <w:vMerge/>
            <w:tcBorders>
              <w:top w:val="nil"/>
              <w:left w:val="single" w:sz="4" w:space="0" w:color="auto"/>
              <w:bottom w:val="single" w:sz="4" w:space="0" w:color="auto"/>
              <w:right w:val="single" w:sz="4" w:space="0" w:color="auto"/>
            </w:tcBorders>
            <w:hideMark/>
          </w:tcPr>
          <w:p w14:paraId="26BF31F1" w14:textId="77777777" w:rsidR="008E099C" w:rsidRPr="00EE44BD" w:rsidRDefault="008E099C" w:rsidP="00B50DC0">
            <w:pPr>
              <w:spacing w:after="0" w:line="240" w:lineRule="auto"/>
              <w:rPr>
                <w:rFonts w:eastAsia="Times New Roman" w:cs="Times New Roman"/>
                <w:szCs w:val="20"/>
              </w:rPr>
            </w:pPr>
          </w:p>
        </w:tc>
        <w:tc>
          <w:tcPr>
            <w:tcW w:w="1124" w:type="dxa"/>
            <w:vMerge w:val="restart"/>
            <w:tcBorders>
              <w:top w:val="nil"/>
              <w:left w:val="single" w:sz="4" w:space="0" w:color="auto"/>
              <w:bottom w:val="single" w:sz="4" w:space="0" w:color="auto"/>
              <w:right w:val="single" w:sz="4" w:space="0" w:color="auto"/>
            </w:tcBorders>
            <w:shd w:val="clear" w:color="auto" w:fill="auto"/>
            <w:hideMark/>
          </w:tcPr>
          <w:p w14:paraId="0FEBC465" w14:textId="77777777" w:rsidR="008E099C" w:rsidRPr="00EE44BD" w:rsidRDefault="008E099C" w:rsidP="00B50DC0">
            <w:pPr>
              <w:spacing w:after="0" w:line="240" w:lineRule="auto"/>
              <w:rPr>
                <w:rFonts w:eastAsia="Times New Roman" w:cs="Times New Roman"/>
                <w:szCs w:val="20"/>
              </w:rPr>
            </w:pPr>
            <w:r w:rsidRPr="00EE44BD">
              <w:rPr>
                <w:rFonts w:eastAsia="Times New Roman" w:cs="Times New Roman"/>
                <w:szCs w:val="20"/>
              </w:rPr>
              <w:t>m-DCI</w:t>
            </w:r>
          </w:p>
        </w:tc>
        <w:tc>
          <w:tcPr>
            <w:tcW w:w="5788" w:type="dxa"/>
            <w:gridSpan w:val="2"/>
            <w:tcBorders>
              <w:top w:val="single" w:sz="4" w:space="0" w:color="auto"/>
              <w:left w:val="nil"/>
              <w:bottom w:val="single" w:sz="4" w:space="0" w:color="auto"/>
              <w:right w:val="single" w:sz="4" w:space="0" w:color="auto"/>
            </w:tcBorders>
            <w:shd w:val="clear" w:color="auto" w:fill="auto"/>
            <w:hideMark/>
          </w:tcPr>
          <w:p w14:paraId="62DA0200" w14:textId="77777777" w:rsidR="008E099C" w:rsidRPr="00EE44BD" w:rsidRDefault="008E099C" w:rsidP="00B50DC0">
            <w:pPr>
              <w:spacing w:after="0" w:line="240" w:lineRule="auto"/>
              <w:rPr>
                <w:rFonts w:eastAsia="Times New Roman" w:cs="Times New Roman"/>
                <w:szCs w:val="20"/>
              </w:rPr>
            </w:pPr>
            <w:r w:rsidRPr="00EE44BD">
              <w:rPr>
                <w:rFonts w:eastAsia="Times New Roman" w:cs="Times New Roman"/>
                <w:szCs w:val="20"/>
              </w:rPr>
              <w:t>Out-of-sync with reduced N (SSB-based)</w:t>
            </w:r>
          </w:p>
        </w:tc>
      </w:tr>
      <w:tr w:rsidR="008E099C" w:rsidRPr="00A64430" w14:paraId="015E7604" w14:textId="77777777" w:rsidTr="00B50DC0">
        <w:trPr>
          <w:trHeight w:val="300"/>
        </w:trPr>
        <w:tc>
          <w:tcPr>
            <w:tcW w:w="2203" w:type="dxa"/>
            <w:vMerge/>
            <w:tcBorders>
              <w:top w:val="nil"/>
              <w:left w:val="single" w:sz="4" w:space="0" w:color="auto"/>
              <w:bottom w:val="single" w:sz="4" w:space="0" w:color="auto"/>
              <w:right w:val="single" w:sz="4" w:space="0" w:color="auto"/>
            </w:tcBorders>
            <w:hideMark/>
          </w:tcPr>
          <w:p w14:paraId="65A2318D" w14:textId="77777777" w:rsidR="008E099C" w:rsidRPr="00EE44BD" w:rsidRDefault="008E099C" w:rsidP="00B50DC0">
            <w:pPr>
              <w:spacing w:after="0" w:line="240" w:lineRule="auto"/>
              <w:rPr>
                <w:rFonts w:eastAsia="Times New Roman" w:cs="Times New Roman"/>
                <w:szCs w:val="20"/>
              </w:rPr>
            </w:pPr>
          </w:p>
        </w:tc>
        <w:tc>
          <w:tcPr>
            <w:tcW w:w="1124" w:type="dxa"/>
            <w:vMerge/>
            <w:tcBorders>
              <w:top w:val="nil"/>
              <w:left w:val="single" w:sz="4" w:space="0" w:color="auto"/>
              <w:bottom w:val="single" w:sz="4" w:space="0" w:color="auto"/>
              <w:right w:val="single" w:sz="4" w:space="0" w:color="auto"/>
            </w:tcBorders>
            <w:hideMark/>
          </w:tcPr>
          <w:p w14:paraId="1A53E057" w14:textId="77777777" w:rsidR="008E099C" w:rsidRPr="00EE44BD" w:rsidRDefault="008E099C" w:rsidP="00B50DC0">
            <w:pPr>
              <w:spacing w:after="0" w:line="240" w:lineRule="auto"/>
              <w:rPr>
                <w:rFonts w:eastAsia="Times New Roman" w:cs="Times New Roman"/>
                <w:szCs w:val="20"/>
              </w:rPr>
            </w:pPr>
          </w:p>
        </w:tc>
        <w:tc>
          <w:tcPr>
            <w:tcW w:w="5788" w:type="dxa"/>
            <w:gridSpan w:val="2"/>
            <w:tcBorders>
              <w:top w:val="single" w:sz="4" w:space="0" w:color="auto"/>
              <w:left w:val="nil"/>
              <w:bottom w:val="single" w:sz="4" w:space="0" w:color="auto"/>
              <w:right w:val="single" w:sz="4" w:space="0" w:color="auto"/>
            </w:tcBorders>
            <w:shd w:val="clear" w:color="auto" w:fill="auto"/>
            <w:hideMark/>
          </w:tcPr>
          <w:p w14:paraId="1ED23596" w14:textId="77777777" w:rsidR="008E099C" w:rsidRPr="00EE44BD" w:rsidRDefault="008E099C" w:rsidP="00B50DC0">
            <w:pPr>
              <w:spacing w:after="0" w:line="240" w:lineRule="auto"/>
              <w:rPr>
                <w:rFonts w:eastAsia="Times New Roman" w:cs="Times New Roman"/>
                <w:szCs w:val="20"/>
              </w:rPr>
            </w:pPr>
            <w:r w:rsidRPr="00EE44BD">
              <w:rPr>
                <w:rFonts w:eastAsia="Times New Roman" w:cs="Times New Roman"/>
                <w:szCs w:val="20"/>
              </w:rPr>
              <w:t>In-sync with reduced N (SSB-based)</w:t>
            </w:r>
          </w:p>
        </w:tc>
      </w:tr>
      <w:tr w:rsidR="008E099C" w:rsidRPr="00A64430" w14:paraId="48DAFFF7" w14:textId="77777777" w:rsidTr="00B50DC0">
        <w:trPr>
          <w:trHeight w:val="300"/>
        </w:trPr>
        <w:tc>
          <w:tcPr>
            <w:tcW w:w="2203" w:type="dxa"/>
            <w:vMerge/>
            <w:tcBorders>
              <w:top w:val="nil"/>
              <w:left w:val="single" w:sz="4" w:space="0" w:color="auto"/>
              <w:bottom w:val="single" w:sz="4" w:space="0" w:color="auto"/>
              <w:right w:val="single" w:sz="4" w:space="0" w:color="auto"/>
            </w:tcBorders>
            <w:hideMark/>
          </w:tcPr>
          <w:p w14:paraId="1FE2259C" w14:textId="77777777" w:rsidR="008E099C" w:rsidRPr="00EE44BD" w:rsidRDefault="008E099C" w:rsidP="00B50DC0">
            <w:pPr>
              <w:spacing w:after="0" w:line="240" w:lineRule="auto"/>
              <w:rPr>
                <w:rFonts w:eastAsia="Times New Roman" w:cs="Times New Roman"/>
                <w:szCs w:val="20"/>
              </w:rPr>
            </w:pPr>
          </w:p>
        </w:tc>
        <w:tc>
          <w:tcPr>
            <w:tcW w:w="1124" w:type="dxa"/>
            <w:vMerge/>
            <w:tcBorders>
              <w:top w:val="nil"/>
              <w:left w:val="single" w:sz="4" w:space="0" w:color="auto"/>
              <w:bottom w:val="single" w:sz="4" w:space="0" w:color="auto"/>
              <w:right w:val="single" w:sz="4" w:space="0" w:color="auto"/>
            </w:tcBorders>
            <w:hideMark/>
          </w:tcPr>
          <w:p w14:paraId="41C9A751" w14:textId="77777777" w:rsidR="008E099C" w:rsidRPr="00EE44BD" w:rsidRDefault="008E099C" w:rsidP="00B50DC0">
            <w:pPr>
              <w:spacing w:after="0" w:line="240" w:lineRule="auto"/>
              <w:rPr>
                <w:rFonts w:eastAsia="Times New Roman" w:cs="Times New Roman"/>
                <w:szCs w:val="20"/>
              </w:rPr>
            </w:pPr>
          </w:p>
        </w:tc>
        <w:tc>
          <w:tcPr>
            <w:tcW w:w="5788" w:type="dxa"/>
            <w:gridSpan w:val="2"/>
            <w:tcBorders>
              <w:top w:val="single" w:sz="4" w:space="0" w:color="auto"/>
              <w:left w:val="nil"/>
              <w:bottom w:val="single" w:sz="4" w:space="0" w:color="auto"/>
              <w:right w:val="single" w:sz="4" w:space="0" w:color="auto"/>
            </w:tcBorders>
            <w:shd w:val="clear" w:color="auto" w:fill="auto"/>
            <w:hideMark/>
          </w:tcPr>
          <w:p w14:paraId="7024A501" w14:textId="77777777" w:rsidR="008E099C" w:rsidRPr="00EE44BD" w:rsidRDefault="008E099C" w:rsidP="00B50DC0">
            <w:pPr>
              <w:spacing w:after="0" w:line="240" w:lineRule="auto"/>
              <w:rPr>
                <w:rFonts w:eastAsia="Times New Roman" w:cs="Times New Roman"/>
                <w:szCs w:val="20"/>
              </w:rPr>
            </w:pPr>
            <w:r w:rsidRPr="00EE44BD">
              <w:rPr>
                <w:rFonts w:eastAsia="Times New Roman" w:cs="Times New Roman"/>
                <w:szCs w:val="20"/>
              </w:rPr>
              <w:t>Scheduling restrictions (CSI-RS based)</w:t>
            </w:r>
          </w:p>
        </w:tc>
      </w:tr>
      <w:tr w:rsidR="008E099C" w:rsidRPr="00A64430" w14:paraId="6C64E1D7" w14:textId="77777777" w:rsidTr="00B50DC0">
        <w:trPr>
          <w:trHeight w:val="300"/>
        </w:trPr>
        <w:tc>
          <w:tcPr>
            <w:tcW w:w="2203" w:type="dxa"/>
            <w:vMerge/>
            <w:tcBorders>
              <w:top w:val="nil"/>
              <w:left w:val="single" w:sz="4" w:space="0" w:color="auto"/>
              <w:bottom w:val="single" w:sz="4" w:space="0" w:color="auto"/>
              <w:right w:val="single" w:sz="4" w:space="0" w:color="auto"/>
            </w:tcBorders>
            <w:hideMark/>
          </w:tcPr>
          <w:p w14:paraId="149A7017" w14:textId="77777777" w:rsidR="008E099C" w:rsidRPr="00EE44BD" w:rsidRDefault="008E099C" w:rsidP="00B50DC0">
            <w:pPr>
              <w:spacing w:after="0" w:line="240" w:lineRule="auto"/>
              <w:rPr>
                <w:rFonts w:eastAsia="Times New Roman" w:cs="Times New Roman"/>
                <w:szCs w:val="20"/>
              </w:rPr>
            </w:pPr>
          </w:p>
        </w:tc>
        <w:tc>
          <w:tcPr>
            <w:tcW w:w="1124" w:type="dxa"/>
            <w:vMerge/>
            <w:tcBorders>
              <w:top w:val="nil"/>
              <w:left w:val="single" w:sz="4" w:space="0" w:color="auto"/>
              <w:bottom w:val="single" w:sz="4" w:space="0" w:color="auto"/>
              <w:right w:val="single" w:sz="4" w:space="0" w:color="auto"/>
            </w:tcBorders>
            <w:hideMark/>
          </w:tcPr>
          <w:p w14:paraId="03CACF2B" w14:textId="77777777" w:rsidR="008E099C" w:rsidRPr="00EE44BD" w:rsidRDefault="008E099C" w:rsidP="00B50DC0">
            <w:pPr>
              <w:spacing w:after="0" w:line="240" w:lineRule="auto"/>
              <w:rPr>
                <w:rFonts w:eastAsia="Times New Roman" w:cs="Times New Roman"/>
                <w:szCs w:val="20"/>
              </w:rPr>
            </w:pPr>
          </w:p>
        </w:tc>
        <w:tc>
          <w:tcPr>
            <w:tcW w:w="5788" w:type="dxa"/>
            <w:gridSpan w:val="2"/>
            <w:tcBorders>
              <w:top w:val="single" w:sz="4" w:space="0" w:color="auto"/>
              <w:left w:val="nil"/>
              <w:bottom w:val="single" w:sz="4" w:space="0" w:color="auto"/>
              <w:right w:val="single" w:sz="4" w:space="0" w:color="auto"/>
            </w:tcBorders>
            <w:shd w:val="clear" w:color="auto" w:fill="auto"/>
            <w:hideMark/>
          </w:tcPr>
          <w:p w14:paraId="167A4990" w14:textId="77777777" w:rsidR="008E099C" w:rsidRPr="00EE44BD" w:rsidRDefault="008E099C" w:rsidP="00B50DC0">
            <w:pPr>
              <w:spacing w:after="0" w:line="240" w:lineRule="auto"/>
              <w:rPr>
                <w:rFonts w:eastAsia="Times New Roman" w:cs="Times New Roman"/>
                <w:szCs w:val="20"/>
              </w:rPr>
            </w:pPr>
            <w:r w:rsidRPr="00EE44BD">
              <w:rPr>
                <w:rFonts w:eastAsia="Times New Roman" w:cs="Times New Roman"/>
                <w:szCs w:val="20"/>
              </w:rPr>
              <w:t>Measurement restrictions (CSI-RS based)</w:t>
            </w:r>
          </w:p>
        </w:tc>
      </w:tr>
      <w:tr w:rsidR="008E099C" w:rsidRPr="00A64430" w14:paraId="501A760F" w14:textId="77777777" w:rsidTr="00B50DC0">
        <w:trPr>
          <w:trHeight w:val="300"/>
        </w:trPr>
        <w:tc>
          <w:tcPr>
            <w:tcW w:w="2203" w:type="dxa"/>
            <w:vMerge w:val="restart"/>
            <w:tcBorders>
              <w:top w:val="nil"/>
              <w:left w:val="single" w:sz="4" w:space="0" w:color="auto"/>
              <w:bottom w:val="single" w:sz="4" w:space="0" w:color="000000"/>
              <w:right w:val="single" w:sz="4" w:space="0" w:color="auto"/>
            </w:tcBorders>
            <w:shd w:val="clear" w:color="auto" w:fill="auto"/>
            <w:hideMark/>
          </w:tcPr>
          <w:p w14:paraId="7538EEB6" w14:textId="77777777" w:rsidR="008E099C" w:rsidRPr="00EE44BD" w:rsidRDefault="008E099C" w:rsidP="00B50DC0">
            <w:pPr>
              <w:spacing w:after="0" w:line="240" w:lineRule="auto"/>
              <w:rPr>
                <w:rFonts w:eastAsia="Times New Roman" w:cs="Times New Roman"/>
                <w:szCs w:val="20"/>
              </w:rPr>
            </w:pPr>
            <w:r w:rsidRPr="00EE44BD">
              <w:rPr>
                <w:rFonts w:eastAsia="Times New Roman" w:cs="Times New Roman"/>
                <w:szCs w:val="20"/>
              </w:rPr>
              <w:t>Cell specific BFD/CBD</w:t>
            </w:r>
          </w:p>
        </w:tc>
        <w:tc>
          <w:tcPr>
            <w:tcW w:w="1124" w:type="dxa"/>
            <w:vMerge w:val="restart"/>
            <w:tcBorders>
              <w:top w:val="nil"/>
              <w:left w:val="single" w:sz="4" w:space="0" w:color="auto"/>
              <w:bottom w:val="single" w:sz="4" w:space="0" w:color="auto"/>
              <w:right w:val="single" w:sz="4" w:space="0" w:color="auto"/>
            </w:tcBorders>
            <w:shd w:val="clear" w:color="auto" w:fill="auto"/>
            <w:hideMark/>
          </w:tcPr>
          <w:p w14:paraId="242AB4D4" w14:textId="77777777" w:rsidR="008E099C" w:rsidRPr="00EE44BD" w:rsidRDefault="008E099C" w:rsidP="00B50DC0">
            <w:pPr>
              <w:spacing w:after="0" w:line="240" w:lineRule="auto"/>
              <w:rPr>
                <w:rFonts w:eastAsia="Times New Roman" w:cs="Times New Roman"/>
                <w:szCs w:val="20"/>
              </w:rPr>
            </w:pPr>
            <w:r w:rsidRPr="00EE44BD">
              <w:rPr>
                <w:rFonts w:eastAsia="Times New Roman" w:cs="Times New Roman"/>
                <w:szCs w:val="20"/>
              </w:rPr>
              <w:t>s-DCI</w:t>
            </w:r>
          </w:p>
        </w:tc>
        <w:tc>
          <w:tcPr>
            <w:tcW w:w="5788" w:type="dxa"/>
            <w:gridSpan w:val="2"/>
            <w:tcBorders>
              <w:top w:val="single" w:sz="4" w:space="0" w:color="auto"/>
              <w:left w:val="nil"/>
              <w:bottom w:val="single" w:sz="4" w:space="0" w:color="auto"/>
              <w:right w:val="single" w:sz="4" w:space="0" w:color="auto"/>
            </w:tcBorders>
            <w:shd w:val="clear" w:color="auto" w:fill="auto"/>
            <w:hideMark/>
          </w:tcPr>
          <w:p w14:paraId="1567F479" w14:textId="77777777" w:rsidR="008E099C" w:rsidRPr="00EE44BD" w:rsidRDefault="008E099C" w:rsidP="00B50DC0">
            <w:pPr>
              <w:spacing w:after="0" w:line="240" w:lineRule="auto"/>
              <w:rPr>
                <w:rFonts w:eastAsia="Times New Roman" w:cs="Times New Roman"/>
                <w:szCs w:val="20"/>
              </w:rPr>
            </w:pPr>
            <w:r w:rsidRPr="00EE44BD">
              <w:rPr>
                <w:rFonts w:eastAsia="Times New Roman" w:cs="Times New Roman"/>
                <w:szCs w:val="20"/>
              </w:rPr>
              <w:t>Beam failure detection and link recovery with reduced N (SSB-based, no DRX)</w:t>
            </w:r>
          </w:p>
        </w:tc>
      </w:tr>
      <w:tr w:rsidR="008E099C" w:rsidRPr="00A64430" w14:paraId="4FE73FB7" w14:textId="77777777" w:rsidTr="00B50DC0">
        <w:trPr>
          <w:trHeight w:val="300"/>
        </w:trPr>
        <w:tc>
          <w:tcPr>
            <w:tcW w:w="2203" w:type="dxa"/>
            <w:vMerge/>
            <w:tcBorders>
              <w:top w:val="nil"/>
              <w:left w:val="single" w:sz="4" w:space="0" w:color="auto"/>
              <w:bottom w:val="single" w:sz="4" w:space="0" w:color="000000"/>
              <w:right w:val="single" w:sz="4" w:space="0" w:color="auto"/>
            </w:tcBorders>
            <w:hideMark/>
          </w:tcPr>
          <w:p w14:paraId="22300ED1" w14:textId="77777777" w:rsidR="008E099C" w:rsidRPr="00EE44BD" w:rsidRDefault="008E099C" w:rsidP="00B50DC0">
            <w:pPr>
              <w:spacing w:after="0" w:line="240" w:lineRule="auto"/>
              <w:rPr>
                <w:rFonts w:eastAsia="Times New Roman" w:cs="Times New Roman"/>
                <w:szCs w:val="20"/>
              </w:rPr>
            </w:pPr>
          </w:p>
        </w:tc>
        <w:tc>
          <w:tcPr>
            <w:tcW w:w="1124" w:type="dxa"/>
            <w:vMerge/>
            <w:tcBorders>
              <w:top w:val="nil"/>
              <w:left w:val="single" w:sz="4" w:space="0" w:color="auto"/>
              <w:bottom w:val="single" w:sz="4" w:space="0" w:color="auto"/>
              <w:right w:val="single" w:sz="4" w:space="0" w:color="auto"/>
            </w:tcBorders>
            <w:hideMark/>
          </w:tcPr>
          <w:p w14:paraId="28B53AF3" w14:textId="77777777" w:rsidR="008E099C" w:rsidRPr="00EE44BD" w:rsidRDefault="008E099C" w:rsidP="00B50DC0">
            <w:pPr>
              <w:spacing w:after="0" w:line="240" w:lineRule="auto"/>
              <w:rPr>
                <w:rFonts w:eastAsia="Times New Roman" w:cs="Times New Roman"/>
                <w:szCs w:val="20"/>
              </w:rPr>
            </w:pPr>
          </w:p>
        </w:tc>
        <w:tc>
          <w:tcPr>
            <w:tcW w:w="5788" w:type="dxa"/>
            <w:gridSpan w:val="2"/>
            <w:tcBorders>
              <w:top w:val="single" w:sz="4" w:space="0" w:color="auto"/>
              <w:left w:val="nil"/>
              <w:bottom w:val="single" w:sz="4" w:space="0" w:color="auto"/>
              <w:right w:val="single" w:sz="4" w:space="0" w:color="000000"/>
            </w:tcBorders>
            <w:shd w:val="clear" w:color="auto" w:fill="auto"/>
            <w:hideMark/>
          </w:tcPr>
          <w:p w14:paraId="4BA339A5" w14:textId="77777777" w:rsidR="008E099C" w:rsidRPr="00EE44BD" w:rsidRDefault="008E099C" w:rsidP="00B50DC0">
            <w:pPr>
              <w:spacing w:after="0" w:line="240" w:lineRule="auto"/>
              <w:rPr>
                <w:rFonts w:eastAsia="Times New Roman" w:cs="Times New Roman"/>
                <w:szCs w:val="20"/>
              </w:rPr>
            </w:pPr>
            <w:r w:rsidRPr="00EE44BD">
              <w:rPr>
                <w:rFonts w:eastAsia="Times New Roman" w:cs="Times New Roman"/>
                <w:szCs w:val="20"/>
              </w:rPr>
              <w:t>Scheduling restrictions (CSI-RS based)</w:t>
            </w:r>
          </w:p>
        </w:tc>
      </w:tr>
      <w:tr w:rsidR="008E099C" w:rsidRPr="00A64430" w14:paraId="05696656" w14:textId="77777777" w:rsidTr="00B50DC0">
        <w:trPr>
          <w:trHeight w:val="300"/>
        </w:trPr>
        <w:tc>
          <w:tcPr>
            <w:tcW w:w="2203" w:type="dxa"/>
            <w:vMerge/>
            <w:tcBorders>
              <w:top w:val="nil"/>
              <w:left w:val="single" w:sz="4" w:space="0" w:color="auto"/>
              <w:bottom w:val="single" w:sz="4" w:space="0" w:color="000000"/>
              <w:right w:val="single" w:sz="4" w:space="0" w:color="auto"/>
            </w:tcBorders>
            <w:hideMark/>
          </w:tcPr>
          <w:p w14:paraId="758421F9" w14:textId="77777777" w:rsidR="008E099C" w:rsidRPr="00EE44BD" w:rsidRDefault="008E099C" w:rsidP="00B50DC0">
            <w:pPr>
              <w:spacing w:after="0" w:line="240" w:lineRule="auto"/>
              <w:rPr>
                <w:rFonts w:eastAsia="Times New Roman" w:cs="Times New Roman"/>
                <w:szCs w:val="20"/>
              </w:rPr>
            </w:pPr>
          </w:p>
        </w:tc>
        <w:tc>
          <w:tcPr>
            <w:tcW w:w="1124" w:type="dxa"/>
            <w:vMerge/>
            <w:tcBorders>
              <w:top w:val="nil"/>
              <w:left w:val="single" w:sz="4" w:space="0" w:color="auto"/>
              <w:bottom w:val="single" w:sz="4" w:space="0" w:color="auto"/>
              <w:right w:val="single" w:sz="4" w:space="0" w:color="auto"/>
            </w:tcBorders>
            <w:hideMark/>
          </w:tcPr>
          <w:p w14:paraId="69184D22" w14:textId="77777777" w:rsidR="008E099C" w:rsidRPr="00EE44BD" w:rsidRDefault="008E099C" w:rsidP="00B50DC0">
            <w:pPr>
              <w:spacing w:after="0" w:line="240" w:lineRule="auto"/>
              <w:rPr>
                <w:rFonts w:eastAsia="Times New Roman" w:cs="Times New Roman"/>
                <w:szCs w:val="20"/>
              </w:rPr>
            </w:pPr>
          </w:p>
        </w:tc>
        <w:tc>
          <w:tcPr>
            <w:tcW w:w="5788" w:type="dxa"/>
            <w:gridSpan w:val="2"/>
            <w:tcBorders>
              <w:top w:val="single" w:sz="4" w:space="0" w:color="auto"/>
              <w:left w:val="nil"/>
              <w:bottom w:val="single" w:sz="4" w:space="0" w:color="auto"/>
              <w:right w:val="single" w:sz="4" w:space="0" w:color="auto"/>
            </w:tcBorders>
            <w:shd w:val="clear" w:color="auto" w:fill="auto"/>
            <w:hideMark/>
          </w:tcPr>
          <w:p w14:paraId="6453FEF8" w14:textId="77777777" w:rsidR="008E099C" w:rsidRPr="00D52B7F" w:rsidRDefault="008E099C" w:rsidP="00B50DC0">
            <w:pPr>
              <w:spacing w:after="0" w:line="240" w:lineRule="auto"/>
              <w:rPr>
                <w:rFonts w:eastAsia="Times New Roman" w:cs="Times New Roman"/>
                <w:szCs w:val="20"/>
              </w:rPr>
            </w:pPr>
            <w:r w:rsidRPr="00D52B7F">
              <w:rPr>
                <w:rFonts w:eastAsia="Times New Roman" w:cs="Times New Roman"/>
                <w:szCs w:val="20"/>
              </w:rPr>
              <w:t>Measurement restrictions (CSI-RS based)</w:t>
            </w:r>
          </w:p>
        </w:tc>
      </w:tr>
      <w:tr w:rsidR="008E099C" w:rsidRPr="00A64430" w14:paraId="5587ACAB" w14:textId="77777777" w:rsidTr="00B50DC0">
        <w:trPr>
          <w:trHeight w:val="300"/>
        </w:trPr>
        <w:tc>
          <w:tcPr>
            <w:tcW w:w="2203" w:type="dxa"/>
            <w:vMerge w:val="restart"/>
            <w:tcBorders>
              <w:top w:val="nil"/>
              <w:left w:val="single" w:sz="4" w:space="0" w:color="auto"/>
              <w:bottom w:val="single" w:sz="4" w:space="0" w:color="000000"/>
              <w:right w:val="single" w:sz="4" w:space="0" w:color="auto"/>
            </w:tcBorders>
            <w:shd w:val="clear" w:color="auto" w:fill="auto"/>
            <w:hideMark/>
          </w:tcPr>
          <w:p w14:paraId="3787967B" w14:textId="77777777" w:rsidR="008E099C" w:rsidRPr="00EE44BD" w:rsidRDefault="008E099C" w:rsidP="00B50DC0">
            <w:pPr>
              <w:spacing w:after="0" w:line="240" w:lineRule="auto"/>
              <w:rPr>
                <w:rFonts w:eastAsia="Times New Roman" w:cs="Times New Roman"/>
                <w:szCs w:val="20"/>
              </w:rPr>
            </w:pPr>
            <w:r w:rsidRPr="00EE44BD">
              <w:rPr>
                <w:rFonts w:eastAsia="Times New Roman" w:cs="Times New Roman"/>
                <w:szCs w:val="20"/>
              </w:rPr>
              <w:t>TRP specific BFD/CBD</w:t>
            </w:r>
          </w:p>
        </w:tc>
        <w:tc>
          <w:tcPr>
            <w:tcW w:w="1124" w:type="dxa"/>
            <w:vMerge w:val="restart"/>
            <w:tcBorders>
              <w:top w:val="nil"/>
              <w:left w:val="single" w:sz="4" w:space="0" w:color="auto"/>
              <w:bottom w:val="single" w:sz="4" w:space="0" w:color="auto"/>
              <w:right w:val="single" w:sz="4" w:space="0" w:color="auto"/>
            </w:tcBorders>
            <w:shd w:val="clear" w:color="auto" w:fill="auto"/>
            <w:hideMark/>
          </w:tcPr>
          <w:p w14:paraId="67A4D116" w14:textId="77777777" w:rsidR="008E099C" w:rsidRPr="00EE44BD" w:rsidRDefault="008E099C" w:rsidP="00B50DC0">
            <w:pPr>
              <w:spacing w:after="0" w:line="240" w:lineRule="auto"/>
              <w:rPr>
                <w:rFonts w:eastAsia="Times New Roman" w:cs="Times New Roman"/>
                <w:szCs w:val="20"/>
              </w:rPr>
            </w:pPr>
            <w:r w:rsidRPr="00EE44BD">
              <w:rPr>
                <w:rFonts w:eastAsia="Times New Roman" w:cs="Times New Roman"/>
                <w:szCs w:val="20"/>
              </w:rPr>
              <w:t>m-DCI</w:t>
            </w:r>
          </w:p>
        </w:tc>
        <w:tc>
          <w:tcPr>
            <w:tcW w:w="5788" w:type="dxa"/>
            <w:gridSpan w:val="2"/>
            <w:tcBorders>
              <w:top w:val="single" w:sz="4" w:space="0" w:color="auto"/>
              <w:left w:val="nil"/>
              <w:bottom w:val="single" w:sz="4" w:space="0" w:color="auto"/>
              <w:right w:val="single" w:sz="4" w:space="0" w:color="auto"/>
            </w:tcBorders>
            <w:shd w:val="clear" w:color="auto" w:fill="auto"/>
            <w:hideMark/>
          </w:tcPr>
          <w:p w14:paraId="38F6221E" w14:textId="77777777" w:rsidR="008E099C" w:rsidRPr="00D52B7F" w:rsidRDefault="008E099C" w:rsidP="00B50DC0">
            <w:pPr>
              <w:spacing w:after="0" w:line="240" w:lineRule="auto"/>
              <w:rPr>
                <w:rFonts w:eastAsia="Times New Roman" w:cs="Times New Roman"/>
                <w:szCs w:val="20"/>
              </w:rPr>
            </w:pPr>
            <w:r w:rsidRPr="00D52B7F">
              <w:rPr>
                <w:rFonts w:eastAsia="Times New Roman" w:cs="Times New Roman"/>
                <w:szCs w:val="20"/>
              </w:rPr>
              <w:t>Beam failure detection and link recovery with reduced N and P</w:t>
            </w:r>
            <w:r w:rsidRPr="00D52B7F">
              <w:rPr>
                <w:rFonts w:eastAsia="Times New Roman" w:cs="Times New Roman"/>
                <w:szCs w:val="20"/>
                <w:vertAlign w:val="subscript"/>
              </w:rPr>
              <w:t>TRP</w:t>
            </w:r>
            <w:r w:rsidRPr="00D52B7F">
              <w:rPr>
                <w:rFonts w:eastAsia="Times New Roman" w:cs="Times New Roman"/>
                <w:szCs w:val="20"/>
              </w:rPr>
              <w:t>= 1 (SSB-based, no DRX)</w:t>
            </w:r>
          </w:p>
        </w:tc>
      </w:tr>
      <w:tr w:rsidR="008E099C" w:rsidRPr="00A64430" w14:paraId="6243211C" w14:textId="77777777" w:rsidTr="00B50DC0">
        <w:trPr>
          <w:trHeight w:val="300"/>
        </w:trPr>
        <w:tc>
          <w:tcPr>
            <w:tcW w:w="2203" w:type="dxa"/>
            <w:vMerge/>
            <w:tcBorders>
              <w:top w:val="nil"/>
              <w:left w:val="single" w:sz="4" w:space="0" w:color="auto"/>
              <w:bottom w:val="single" w:sz="4" w:space="0" w:color="000000"/>
              <w:right w:val="single" w:sz="4" w:space="0" w:color="auto"/>
            </w:tcBorders>
            <w:hideMark/>
          </w:tcPr>
          <w:p w14:paraId="50F7F8CF" w14:textId="77777777" w:rsidR="008E099C" w:rsidRPr="00EE44BD" w:rsidRDefault="008E099C" w:rsidP="00B50DC0">
            <w:pPr>
              <w:spacing w:after="0" w:line="240" w:lineRule="auto"/>
              <w:rPr>
                <w:rFonts w:eastAsia="Times New Roman" w:cs="Times New Roman"/>
                <w:szCs w:val="20"/>
              </w:rPr>
            </w:pPr>
          </w:p>
        </w:tc>
        <w:tc>
          <w:tcPr>
            <w:tcW w:w="1124" w:type="dxa"/>
            <w:vMerge/>
            <w:tcBorders>
              <w:top w:val="nil"/>
              <w:left w:val="single" w:sz="4" w:space="0" w:color="auto"/>
              <w:bottom w:val="single" w:sz="4" w:space="0" w:color="auto"/>
              <w:right w:val="single" w:sz="4" w:space="0" w:color="auto"/>
            </w:tcBorders>
            <w:hideMark/>
          </w:tcPr>
          <w:p w14:paraId="5410EB20" w14:textId="77777777" w:rsidR="008E099C" w:rsidRPr="00EE44BD" w:rsidRDefault="008E099C" w:rsidP="00B50DC0">
            <w:pPr>
              <w:spacing w:after="0" w:line="240" w:lineRule="auto"/>
              <w:rPr>
                <w:rFonts w:eastAsia="Times New Roman" w:cs="Times New Roman"/>
                <w:szCs w:val="20"/>
              </w:rPr>
            </w:pPr>
          </w:p>
        </w:tc>
        <w:tc>
          <w:tcPr>
            <w:tcW w:w="5788" w:type="dxa"/>
            <w:gridSpan w:val="2"/>
            <w:tcBorders>
              <w:top w:val="single" w:sz="4" w:space="0" w:color="auto"/>
              <w:left w:val="nil"/>
              <w:bottom w:val="single" w:sz="4" w:space="0" w:color="auto"/>
              <w:right w:val="single" w:sz="4" w:space="0" w:color="000000"/>
            </w:tcBorders>
            <w:shd w:val="clear" w:color="auto" w:fill="auto"/>
            <w:hideMark/>
          </w:tcPr>
          <w:p w14:paraId="281900DF" w14:textId="77777777" w:rsidR="008E099C" w:rsidRPr="00D52B7F" w:rsidRDefault="008E099C" w:rsidP="00B50DC0">
            <w:pPr>
              <w:spacing w:after="0" w:line="240" w:lineRule="auto"/>
              <w:rPr>
                <w:rFonts w:eastAsia="Times New Roman" w:cs="Times New Roman"/>
                <w:szCs w:val="20"/>
              </w:rPr>
            </w:pPr>
            <w:r w:rsidRPr="00D52B7F">
              <w:rPr>
                <w:rFonts w:eastAsia="Times New Roman" w:cs="Times New Roman"/>
                <w:szCs w:val="20"/>
              </w:rPr>
              <w:t>Scheduling restrictions (CSI-RS based)</w:t>
            </w:r>
          </w:p>
        </w:tc>
      </w:tr>
      <w:tr w:rsidR="008E099C" w:rsidRPr="00A64430" w14:paraId="0881EFAB" w14:textId="77777777" w:rsidTr="00B50DC0">
        <w:trPr>
          <w:trHeight w:val="300"/>
        </w:trPr>
        <w:tc>
          <w:tcPr>
            <w:tcW w:w="2203" w:type="dxa"/>
            <w:vMerge/>
            <w:tcBorders>
              <w:top w:val="nil"/>
              <w:left w:val="single" w:sz="4" w:space="0" w:color="auto"/>
              <w:bottom w:val="single" w:sz="4" w:space="0" w:color="000000"/>
              <w:right w:val="single" w:sz="4" w:space="0" w:color="auto"/>
            </w:tcBorders>
            <w:hideMark/>
          </w:tcPr>
          <w:p w14:paraId="445A0E8E" w14:textId="77777777" w:rsidR="008E099C" w:rsidRPr="00EE44BD" w:rsidRDefault="008E099C" w:rsidP="00B50DC0">
            <w:pPr>
              <w:spacing w:after="0" w:line="240" w:lineRule="auto"/>
              <w:rPr>
                <w:rFonts w:eastAsia="Times New Roman" w:cs="Times New Roman"/>
                <w:szCs w:val="20"/>
              </w:rPr>
            </w:pPr>
          </w:p>
        </w:tc>
        <w:tc>
          <w:tcPr>
            <w:tcW w:w="1124" w:type="dxa"/>
            <w:vMerge/>
            <w:tcBorders>
              <w:top w:val="nil"/>
              <w:left w:val="single" w:sz="4" w:space="0" w:color="auto"/>
              <w:bottom w:val="single" w:sz="4" w:space="0" w:color="auto"/>
              <w:right w:val="single" w:sz="4" w:space="0" w:color="auto"/>
            </w:tcBorders>
            <w:hideMark/>
          </w:tcPr>
          <w:p w14:paraId="4DED4031" w14:textId="77777777" w:rsidR="008E099C" w:rsidRPr="00EE44BD" w:rsidRDefault="008E099C" w:rsidP="00B50DC0">
            <w:pPr>
              <w:spacing w:after="0" w:line="240" w:lineRule="auto"/>
              <w:rPr>
                <w:rFonts w:eastAsia="Times New Roman" w:cs="Times New Roman"/>
                <w:szCs w:val="20"/>
              </w:rPr>
            </w:pPr>
          </w:p>
        </w:tc>
        <w:tc>
          <w:tcPr>
            <w:tcW w:w="5788" w:type="dxa"/>
            <w:gridSpan w:val="2"/>
            <w:tcBorders>
              <w:top w:val="single" w:sz="4" w:space="0" w:color="auto"/>
              <w:left w:val="nil"/>
              <w:bottom w:val="nil"/>
              <w:right w:val="single" w:sz="4" w:space="0" w:color="auto"/>
            </w:tcBorders>
            <w:shd w:val="clear" w:color="auto" w:fill="auto"/>
            <w:hideMark/>
          </w:tcPr>
          <w:p w14:paraId="21C47324" w14:textId="77777777" w:rsidR="008E099C" w:rsidRPr="00EE44BD" w:rsidRDefault="008E099C" w:rsidP="00B50DC0">
            <w:pPr>
              <w:spacing w:after="0" w:line="240" w:lineRule="auto"/>
              <w:rPr>
                <w:rFonts w:eastAsia="Times New Roman" w:cs="Times New Roman"/>
                <w:szCs w:val="20"/>
              </w:rPr>
            </w:pPr>
            <w:r w:rsidRPr="00EE44BD">
              <w:rPr>
                <w:rFonts w:eastAsia="Times New Roman" w:cs="Times New Roman"/>
                <w:szCs w:val="20"/>
              </w:rPr>
              <w:t>Measurement restrictions (CSI-RS based)</w:t>
            </w:r>
          </w:p>
        </w:tc>
      </w:tr>
      <w:tr w:rsidR="008E099C" w:rsidRPr="00A64430" w14:paraId="6D22D3F6" w14:textId="77777777" w:rsidTr="00B50DC0">
        <w:trPr>
          <w:trHeight w:val="300"/>
        </w:trPr>
        <w:tc>
          <w:tcPr>
            <w:tcW w:w="2203" w:type="dxa"/>
            <w:vMerge w:val="restart"/>
            <w:tcBorders>
              <w:top w:val="nil"/>
              <w:left w:val="single" w:sz="4" w:space="0" w:color="auto"/>
              <w:bottom w:val="single" w:sz="4" w:space="0" w:color="auto"/>
              <w:right w:val="single" w:sz="4" w:space="0" w:color="auto"/>
            </w:tcBorders>
            <w:shd w:val="clear" w:color="auto" w:fill="auto"/>
            <w:hideMark/>
          </w:tcPr>
          <w:p w14:paraId="7BD42073" w14:textId="77777777" w:rsidR="008E099C" w:rsidRPr="00EE44BD" w:rsidRDefault="008E099C" w:rsidP="00B50DC0">
            <w:pPr>
              <w:spacing w:after="0" w:line="240" w:lineRule="auto"/>
              <w:rPr>
                <w:rFonts w:eastAsia="Times New Roman" w:cs="Times New Roman"/>
                <w:szCs w:val="20"/>
              </w:rPr>
            </w:pPr>
            <w:r w:rsidRPr="00EE44BD">
              <w:rPr>
                <w:rFonts w:eastAsia="Times New Roman" w:cs="Times New Roman"/>
                <w:szCs w:val="20"/>
              </w:rPr>
              <w:t>L1-RSRP measurement (non-group-based)</w:t>
            </w:r>
          </w:p>
        </w:tc>
        <w:tc>
          <w:tcPr>
            <w:tcW w:w="1124" w:type="dxa"/>
            <w:vMerge w:val="restart"/>
            <w:tcBorders>
              <w:top w:val="nil"/>
              <w:left w:val="single" w:sz="4" w:space="0" w:color="auto"/>
              <w:bottom w:val="single" w:sz="4" w:space="0" w:color="auto"/>
              <w:right w:val="single" w:sz="4" w:space="0" w:color="auto"/>
            </w:tcBorders>
            <w:shd w:val="clear" w:color="auto" w:fill="auto"/>
            <w:hideMark/>
          </w:tcPr>
          <w:p w14:paraId="13EDD7DD" w14:textId="77777777" w:rsidR="008E099C" w:rsidRPr="00EE44BD" w:rsidRDefault="008E099C" w:rsidP="00B50DC0">
            <w:pPr>
              <w:spacing w:after="0" w:line="240" w:lineRule="auto"/>
              <w:rPr>
                <w:rFonts w:eastAsia="Times New Roman" w:cs="Times New Roman"/>
                <w:szCs w:val="20"/>
              </w:rPr>
            </w:pPr>
            <w:r w:rsidRPr="00EE44BD">
              <w:rPr>
                <w:rFonts w:eastAsia="Times New Roman" w:cs="Times New Roman"/>
                <w:szCs w:val="20"/>
              </w:rPr>
              <w:t> </w:t>
            </w:r>
          </w:p>
        </w:tc>
        <w:tc>
          <w:tcPr>
            <w:tcW w:w="5788" w:type="dxa"/>
            <w:gridSpan w:val="2"/>
            <w:tcBorders>
              <w:top w:val="single" w:sz="4" w:space="0" w:color="auto"/>
              <w:left w:val="nil"/>
              <w:bottom w:val="single" w:sz="4" w:space="0" w:color="auto"/>
              <w:right w:val="single" w:sz="4" w:space="0" w:color="auto"/>
            </w:tcBorders>
            <w:shd w:val="clear" w:color="auto" w:fill="auto"/>
            <w:hideMark/>
          </w:tcPr>
          <w:p w14:paraId="267EE4F8" w14:textId="77777777" w:rsidR="008E099C" w:rsidRPr="00EE44BD" w:rsidRDefault="008E099C" w:rsidP="00B50DC0">
            <w:pPr>
              <w:spacing w:after="0" w:line="240" w:lineRule="auto"/>
              <w:rPr>
                <w:rFonts w:eastAsia="Times New Roman" w:cs="Times New Roman"/>
                <w:szCs w:val="20"/>
              </w:rPr>
            </w:pPr>
            <w:r w:rsidRPr="00EE44BD">
              <w:rPr>
                <w:rFonts w:eastAsia="Times New Roman" w:cs="Times New Roman"/>
                <w:szCs w:val="20"/>
              </w:rPr>
              <w:t>Measurement with reduced N (SSB-based)</w:t>
            </w:r>
          </w:p>
        </w:tc>
      </w:tr>
      <w:tr w:rsidR="008E099C" w:rsidRPr="00A64430" w14:paraId="2B047506" w14:textId="77777777" w:rsidTr="00B50DC0">
        <w:trPr>
          <w:trHeight w:val="300"/>
        </w:trPr>
        <w:tc>
          <w:tcPr>
            <w:tcW w:w="2203" w:type="dxa"/>
            <w:vMerge/>
            <w:tcBorders>
              <w:top w:val="nil"/>
              <w:left w:val="single" w:sz="4" w:space="0" w:color="auto"/>
              <w:bottom w:val="single" w:sz="4" w:space="0" w:color="auto"/>
              <w:right w:val="single" w:sz="4" w:space="0" w:color="auto"/>
            </w:tcBorders>
            <w:hideMark/>
          </w:tcPr>
          <w:p w14:paraId="6C2A6459" w14:textId="77777777" w:rsidR="008E099C" w:rsidRPr="00EE44BD" w:rsidRDefault="008E099C" w:rsidP="00B50DC0">
            <w:pPr>
              <w:spacing w:after="0" w:line="240" w:lineRule="auto"/>
              <w:rPr>
                <w:rFonts w:eastAsia="Times New Roman" w:cs="Times New Roman"/>
                <w:szCs w:val="20"/>
              </w:rPr>
            </w:pPr>
          </w:p>
        </w:tc>
        <w:tc>
          <w:tcPr>
            <w:tcW w:w="1124" w:type="dxa"/>
            <w:vMerge/>
            <w:tcBorders>
              <w:top w:val="nil"/>
              <w:left w:val="single" w:sz="4" w:space="0" w:color="auto"/>
              <w:bottom w:val="single" w:sz="4" w:space="0" w:color="auto"/>
              <w:right w:val="single" w:sz="4" w:space="0" w:color="auto"/>
            </w:tcBorders>
            <w:hideMark/>
          </w:tcPr>
          <w:p w14:paraId="31589E66" w14:textId="77777777" w:rsidR="008E099C" w:rsidRPr="00EE44BD" w:rsidRDefault="008E099C" w:rsidP="00B50DC0">
            <w:pPr>
              <w:spacing w:after="0" w:line="240" w:lineRule="auto"/>
              <w:rPr>
                <w:rFonts w:eastAsia="Times New Roman" w:cs="Times New Roman"/>
                <w:szCs w:val="20"/>
              </w:rPr>
            </w:pPr>
          </w:p>
        </w:tc>
        <w:tc>
          <w:tcPr>
            <w:tcW w:w="5788" w:type="dxa"/>
            <w:gridSpan w:val="2"/>
            <w:tcBorders>
              <w:top w:val="single" w:sz="4" w:space="0" w:color="auto"/>
              <w:left w:val="nil"/>
              <w:bottom w:val="single" w:sz="4" w:space="0" w:color="auto"/>
              <w:right w:val="single" w:sz="4" w:space="0" w:color="auto"/>
            </w:tcBorders>
            <w:shd w:val="clear" w:color="auto" w:fill="auto"/>
            <w:hideMark/>
          </w:tcPr>
          <w:p w14:paraId="2FC17078" w14:textId="77777777" w:rsidR="008E099C" w:rsidRPr="00EE44BD" w:rsidRDefault="008E099C" w:rsidP="00B50DC0">
            <w:pPr>
              <w:spacing w:after="0" w:line="240" w:lineRule="auto"/>
              <w:rPr>
                <w:rFonts w:eastAsia="Times New Roman" w:cs="Times New Roman"/>
                <w:szCs w:val="20"/>
              </w:rPr>
            </w:pPr>
            <w:r w:rsidRPr="00EE44BD">
              <w:rPr>
                <w:rFonts w:eastAsia="Times New Roman" w:cs="Times New Roman"/>
                <w:szCs w:val="20"/>
              </w:rPr>
              <w:t>Scheduling restrictions (CSI-RS based)</w:t>
            </w:r>
          </w:p>
        </w:tc>
      </w:tr>
      <w:tr w:rsidR="008E099C" w:rsidRPr="00A64430" w14:paraId="327CA983" w14:textId="77777777" w:rsidTr="00B50DC0">
        <w:trPr>
          <w:trHeight w:val="300"/>
        </w:trPr>
        <w:tc>
          <w:tcPr>
            <w:tcW w:w="2203" w:type="dxa"/>
            <w:vMerge/>
            <w:tcBorders>
              <w:top w:val="nil"/>
              <w:left w:val="single" w:sz="4" w:space="0" w:color="auto"/>
              <w:bottom w:val="single" w:sz="4" w:space="0" w:color="auto"/>
              <w:right w:val="single" w:sz="4" w:space="0" w:color="auto"/>
            </w:tcBorders>
            <w:hideMark/>
          </w:tcPr>
          <w:p w14:paraId="650A4151" w14:textId="77777777" w:rsidR="008E099C" w:rsidRPr="00EE44BD" w:rsidRDefault="008E099C" w:rsidP="00B50DC0">
            <w:pPr>
              <w:spacing w:after="0" w:line="240" w:lineRule="auto"/>
              <w:rPr>
                <w:rFonts w:eastAsia="Times New Roman" w:cs="Times New Roman"/>
                <w:szCs w:val="20"/>
              </w:rPr>
            </w:pPr>
          </w:p>
        </w:tc>
        <w:tc>
          <w:tcPr>
            <w:tcW w:w="1124" w:type="dxa"/>
            <w:vMerge/>
            <w:tcBorders>
              <w:top w:val="nil"/>
              <w:left w:val="single" w:sz="4" w:space="0" w:color="auto"/>
              <w:bottom w:val="single" w:sz="4" w:space="0" w:color="auto"/>
              <w:right w:val="single" w:sz="4" w:space="0" w:color="auto"/>
            </w:tcBorders>
            <w:hideMark/>
          </w:tcPr>
          <w:p w14:paraId="5578ADF8" w14:textId="77777777" w:rsidR="008E099C" w:rsidRPr="00EE44BD" w:rsidRDefault="008E099C" w:rsidP="00B50DC0">
            <w:pPr>
              <w:spacing w:after="0" w:line="240" w:lineRule="auto"/>
              <w:rPr>
                <w:rFonts w:eastAsia="Times New Roman" w:cs="Times New Roman"/>
                <w:szCs w:val="20"/>
              </w:rPr>
            </w:pPr>
          </w:p>
        </w:tc>
        <w:tc>
          <w:tcPr>
            <w:tcW w:w="5788" w:type="dxa"/>
            <w:gridSpan w:val="2"/>
            <w:tcBorders>
              <w:top w:val="single" w:sz="4" w:space="0" w:color="auto"/>
              <w:left w:val="nil"/>
              <w:bottom w:val="single" w:sz="4" w:space="0" w:color="auto"/>
              <w:right w:val="single" w:sz="4" w:space="0" w:color="auto"/>
            </w:tcBorders>
            <w:shd w:val="clear" w:color="auto" w:fill="auto"/>
            <w:hideMark/>
          </w:tcPr>
          <w:p w14:paraId="11B6F25E" w14:textId="77777777" w:rsidR="008E099C" w:rsidRPr="00EE44BD" w:rsidRDefault="008E099C" w:rsidP="00B50DC0">
            <w:pPr>
              <w:spacing w:after="0" w:line="240" w:lineRule="auto"/>
              <w:rPr>
                <w:rFonts w:eastAsia="Times New Roman" w:cs="Times New Roman"/>
                <w:szCs w:val="20"/>
              </w:rPr>
            </w:pPr>
            <w:r w:rsidRPr="00EE44BD">
              <w:rPr>
                <w:rFonts w:eastAsia="Times New Roman" w:cs="Times New Roman"/>
                <w:szCs w:val="20"/>
              </w:rPr>
              <w:t>Measurement restrictions (CSI-RS based)</w:t>
            </w:r>
          </w:p>
        </w:tc>
      </w:tr>
      <w:tr w:rsidR="008E099C" w:rsidRPr="00A64430" w14:paraId="499C8140" w14:textId="77777777" w:rsidTr="00B50DC0">
        <w:trPr>
          <w:trHeight w:val="300"/>
        </w:trPr>
        <w:tc>
          <w:tcPr>
            <w:tcW w:w="2203" w:type="dxa"/>
            <w:vMerge w:val="restart"/>
            <w:tcBorders>
              <w:top w:val="nil"/>
              <w:left w:val="single" w:sz="4" w:space="0" w:color="auto"/>
              <w:bottom w:val="single" w:sz="4" w:space="0" w:color="000000"/>
              <w:right w:val="single" w:sz="4" w:space="0" w:color="auto"/>
            </w:tcBorders>
            <w:shd w:val="clear" w:color="auto" w:fill="auto"/>
            <w:hideMark/>
          </w:tcPr>
          <w:p w14:paraId="737FC441" w14:textId="77777777" w:rsidR="008E099C" w:rsidRPr="00EE44BD" w:rsidRDefault="008E099C" w:rsidP="00B50DC0">
            <w:pPr>
              <w:spacing w:after="0" w:line="240" w:lineRule="auto"/>
              <w:rPr>
                <w:rFonts w:eastAsia="Times New Roman" w:cs="Times New Roman"/>
                <w:szCs w:val="20"/>
              </w:rPr>
            </w:pPr>
            <w:r w:rsidRPr="00EE44BD">
              <w:rPr>
                <w:rFonts w:eastAsia="Times New Roman" w:cs="Times New Roman"/>
                <w:szCs w:val="20"/>
              </w:rPr>
              <w:t>L1-RSRP measurement (group-based)</w:t>
            </w:r>
          </w:p>
        </w:tc>
        <w:tc>
          <w:tcPr>
            <w:tcW w:w="1124" w:type="dxa"/>
            <w:vMerge w:val="restart"/>
            <w:tcBorders>
              <w:top w:val="nil"/>
              <w:left w:val="single" w:sz="4" w:space="0" w:color="auto"/>
              <w:bottom w:val="single" w:sz="4" w:space="0" w:color="000000"/>
              <w:right w:val="single" w:sz="4" w:space="0" w:color="auto"/>
            </w:tcBorders>
            <w:shd w:val="clear" w:color="auto" w:fill="auto"/>
            <w:hideMark/>
          </w:tcPr>
          <w:p w14:paraId="0798DE43" w14:textId="77777777" w:rsidR="008E099C" w:rsidRPr="00EE44BD" w:rsidRDefault="008E099C" w:rsidP="00B50DC0">
            <w:pPr>
              <w:spacing w:after="0" w:line="240" w:lineRule="auto"/>
              <w:rPr>
                <w:rFonts w:eastAsia="Times New Roman" w:cs="Times New Roman"/>
                <w:szCs w:val="20"/>
              </w:rPr>
            </w:pPr>
            <w:r w:rsidRPr="00EE44BD">
              <w:rPr>
                <w:rFonts w:eastAsia="Times New Roman" w:cs="Times New Roman"/>
                <w:szCs w:val="20"/>
              </w:rPr>
              <w:t> </w:t>
            </w:r>
          </w:p>
        </w:tc>
        <w:tc>
          <w:tcPr>
            <w:tcW w:w="5788" w:type="dxa"/>
            <w:gridSpan w:val="2"/>
            <w:tcBorders>
              <w:top w:val="single" w:sz="4" w:space="0" w:color="auto"/>
              <w:left w:val="nil"/>
              <w:bottom w:val="single" w:sz="4" w:space="0" w:color="auto"/>
              <w:right w:val="single" w:sz="4" w:space="0" w:color="auto"/>
            </w:tcBorders>
            <w:shd w:val="clear" w:color="auto" w:fill="auto"/>
            <w:hideMark/>
          </w:tcPr>
          <w:p w14:paraId="0E937281" w14:textId="77777777" w:rsidR="008E099C" w:rsidRPr="00EE44BD" w:rsidRDefault="008E099C" w:rsidP="00B50DC0">
            <w:pPr>
              <w:spacing w:after="0" w:line="240" w:lineRule="auto"/>
              <w:rPr>
                <w:rFonts w:eastAsia="Times New Roman" w:cs="Times New Roman"/>
                <w:szCs w:val="20"/>
              </w:rPr>
            </w:pPr>
            <w:r w:rsidRPr="00EE44BD">
              <w:rPr>
                <w:rFonts w:eastAsia="Times New Roman" w:cs="Times New Roman"/>
                <w:szCs w:val="20"/>
              </w:rPr>
              <w:t>Measurement reporting and accuracy requirements (SSB-based)</w:t>
            </w:r>
          </w:p>
        </w:tc>
      </w:tr>
      <w:tr w:rsidR="008E099C" w:rsidRPr="00A64430" w14:paraId="70761327" w14:textId="77777777" w:rsidTr="00B50DC0">
        <w:trPr>
          <w:trHeight w:val="300"/>
        </w:trPr>
        <w:tc>
          <w:tcPr>
            <w:tcW w:w="2203" w:type="dxa"/>
            <w:vMerge/>
            <w:tcBorders>
              <w:top w:val="nil"/>
              <w:left w:val="single" w:sz="4" w:space="0" w:color="auto"/>
              <w:bottom w:val="single" w:sz="4" w:space="0" w:color="000000"/>
              <w:right w:val="single" w:sz="4" w:space="0" w:color="auto"/>
            </w:tcBorders>
            <w:hideMark/>
          </w:tcPr>
          <w:p w14:paraId="14174B8B" w14:textId="77777777" w:rsidR="008E099C" w:rsidRPr="00EE44BD" w:rsidRDefault="008E099C" w:rsidP="00B50DC0">
            <w:pPr>
              <w:spacing w:after="0" w:line="240" w:lineRule="auto"/>
              <w:rPr>
                <w:rFonts w:eastAsia="Times New Roman" w:cs="Times New Roman"/>
                <w:szCs w:val="20"/>
              </w:rPr>
            </w:pPr>
          </w:p>
        </w:tc>
        <w:tc>
          <w:tcPr>
            <w:tcW w:w="1124" w:type="dxa"/>
            <w:vMerge/>
            <w:tcBorders>
              <w:top w:val="nil"/>
              <w:left w:val="single" w:sz="4" w:space="0" w:color="auto"/>
              <w:bottom w:val="single" w:sz="4" w:space="0" w:color="000000"/>
              <w:right w:val="single" w:sz="4" w:space="0" w:color="auto"/>
            </w:tcBorders>
            <w:hideMark/>
          </w:tcPr>
          <w:p w14:paraId="5CB9DE6C" w14:textId="77777777" w:rsidR="008E099C" w:rsidRPr="00EE44BD" w:rsidRDefault="008E099C" w:rsidP="00B50DC0">
            <w:pPr>
              <w:spacing w:after="0" w:line="240" w:lineRule="auto"/>
              <w:rPr>
                <w:rFonts w:eastAsia="Times New Roman" w:cs="Times New Roman"/>
                <w:szCs w:val="20"/>
              </w:rPr>
            </w:pPr>
          </w:p>
        </w:tc>
        <w:tc>
          <w:tcPr>
            <w:tcW w:w="5788" w:type="dxa"/>
            <w:gridSpan w:val="2"/>
            <w:tcBorders>
              <w:top w:val="single" w:sz="4" w:space="0" w:color="auto"/>
              <w:left w:val="nil"/>
              <w:bottom w:val="single" w:sz="4" w:space="0" w:color="auto"/>
              <w:right w:val="single" w:sz="4" w:space="0" w:color="auto"/>
            </w:tcBorders>
            <w:shd w:val="clear" w:color="auto" w:fill="auto"/>
            <w:hideMark/>
          </w:tcPr>
          <w:p w14:paraId="6196C7A6" w14:textId="77777777" w:rsidR="008E099C" w:rsidRPr="00EE44BD" w:rsidRDefault="008E099C" w:rsidP="00B50DC0">
            <w:pPr>
              <w:spacing w:after="0" w:line="240" w:lineRule="auto"/>
              <w:rPr>
                <w:rFonts w:eastAsia="Times New Roman" w:cs="Times New Roman"/>
                <w:szCs w:val="20"/>
              </w:rPr>
            </w:pPr>
            <w:r w:rsidRPr="00EE44BD">
              <w:rPr>
                <w:rFonts w:eastAsia="Times New Roman" w:cs="Times New Roman"/>
                <w:szCs w:val="20"/>
              </w:rPr>
              <w:t>Measurement reporting and accuracy requirements (CSI-RS based)</w:t>
            </w:r>
          </w:p>
        </w:tc>
      </w:tr>
    </w:tbl>
    <w:p w14:paraId="64D6CD20" w14:textId="77777777" w:rsidR="008E099C" w:rsidRPr="008E099C" w:rsidRDefault="008E099C" w:rsidP="008E099C"/>
    <w:p w14:paraId="28FD79A9" w14:textId="2C410EE1" w:rsidR="00617326" w:rsidRDefault="00A4355E" w:rsidP="00AB4804">
      <w:pPr>
        <w:pStyle w:val="RAN4H1"/>
        <w:numPr>
          <w:ilvl w:val="0"/>
          <w:numId w:val="0"/>
        </w:numPr>
        <w:ind w:left="720" w:hanging="360"/>
        <w:rPr>
          <w:noProof/>
        </w:rPr>
      </w:pPr>
      <w:r>
        <w:rPr>
          <w:noProof/>
        </w:rPr>
        <w:fldChar w:fldCharType="end"/>
      </w:r>
      <w:bookmarkStart w:id="17" w:name="_Toc116995849"/>
      <w:r w:rsidR="00EA3AF4">
        <w:rPr>
          <w:noProof/>
        </w:rPr>
        <w:t>References</w:t>
      </w:r>
    </w:p>
    <w:p w14:paraId="1BD12F6D" w14:textId="71766E61" w:rsidR="00EA3AF4" w:rsidRDefault="00EA3AF4" w:rsidP="00EA3AF4">
      <w:pPr>
        <w:pStyle w:val="ListParagraph"/>
        <w:numPr>
          <w:ilvl w:val="0"/>
          <w:numId w:val="33"/>
        </w:numPr>
        <w:jc w:val="both"/>
        <w:rPr>
          <w:rFonts w:cs="Times New Roman"/>
          <w:lang w:val="en-GB"/>
        </w:rPr>
      </w:pPr>
      <w:bookmarkStart w:id="18" w:name="_Ref146694949"/>
      <w:r w:rsidRPr="00DA736C">
        <w:rPr>
          <w:rFonts w:cs="Times New Roman"/>
          <w:lang w:val="en-GB"/>
        </w:rPr>
        <w:t>R4-</w:t>
      </w:r>
      <w:r w:rsidR="00146EB2" w:rsidRPr="00146EB2">
        <w:rPr>
          <w:rFonts w:ascii="Arial" w:hAnsi="Arial" w:cs="Arial"/>
          <w:b/>
          <w:bCs/>
          <w:lang w:val="en-GB"/>
        </w:rPr>
        <w:t xml:space="preserve"> </w:t>
      </w:r>
      <w:r w:rsidR="00146EB2" w:rsidRPr="00146EB2">
        <w:rPr>
          <w:rFonts w:cs="Times New Roman"/>
          <w:lang w:val="en-GB"/>
        </w:rPr>
        <w:t>2321602</w:t>
      </w:r>
      <w:r>
        <w:rPr>
          <w:rFonts w:cs="Times New Roman"/>
          <w:lang w:val="en-GB"/>
        </w:rPr>
        <w:t xml:space="preserve">, </w:t>
      </w:r>
      <w:r w:rsidR="00146EB2" w:rsidRPr="00146EB2">
        <w:rPr>
          <w:rFonts w:cs="Times New Roman"/>
          <w:lang w:val="en-GB"/>
        </w:rPr>
        <w:t>WF on core maintenance and performance part for multi-Rx WI</w:t>
      </w:r>
      <w:r>
        <w:rPr>
          <w:rFonts w:cs="Times New Roman"/>
          <w:lang w:val="en-GB"/>
        </w:rPr>
        <w:t xml:space="preserve">, </w:t>
      </w:r>
      <w:r w:rsidRPr="00DA736C">
        <w:rPr>
          <w:rFonts w:cs="Times New Roman"/>
          <w:lang w:val="en-GB"/>
        </w:rPr>
        <w:t>Vivo</w:t>
      </w:r>
      <w:bookmarkEnd w:id="18"/>
      <w:r w:rsidR="00146EB2">
        <w:rPr>
          <w:rFonts w:cs="Times New Roman"/>
          <w:lang w:val="en-GB"/>
        </w:rPr>
        <w:t>, Ericsson</w:t>
      </w:r>
      <w:r>
        <w:rPr>
          <w:rFonts w:cs="Times New Roman"/>
          <w:lang w:val="en-GB"/>
        </w:rPr>
        <w:t>, RAN4#10</w:t>
      </w:r>
      <w:r w:rsidR="00146EB2">
        <w:rPr>
          <w:rFonts w:cs="Times New Roman"/>
          <w:lang w:val="en-GB"/>
        </w:rPr>
        <w:t>9</w:t>
      </w:r>
      <w:r>
        <w:rPr>
          <w:rFonts w:cs="Times New Roman"/>
          <w:lang w:val="en-GB"/>
        </w:rPr>
        <w:t xml:space="preserve"> meeting, </w:t>
      </w:r>
      <w:r w:rsidR="00146EB2" w:rsidRPr="00146EB2">
        <w:rPr>
          <w:rFonts w:cs="Times New Roman"/>
          <w:lang w:val="en-GB"/>
        </w:rPr>
        <w:t>Chicago, USA, 13 Nov. – 17 Nov. 2023</w:t>
      </w:r>
      <w:r>
        <w:rPr>
          <w:rFonts w:cs="Times New Roman"/>
          <w:lang w:val="en-GB"/>
        </w:rPr>
        <w:t>.</w:t>
      </w:r>
    </w:p>
    <w:p w14:paraId="6A4186AF" w14:textId="2A26FF73" w:rsidR="007C5888" w:rsidRDefault="007C5888" w:rsidP="007C5888">
      <w:pPr>
        <w:pStyle w:val="ListParagraph"/>
        <w:numPr>
          <w:ilvl w:val="0"/>
          <w:numId w:val="33"/>
        </w:numPr>
        <w:jc w:val="both"/>
        <w:rPr>
          <w:rFonts w:cs="Times New Roman"/>
          <w:lang w:val="en-GB"/>
        </w:rPr>
      </w:pPr>
      <w:r>
        <w:rPr>
          <w:rFonts w:cs="Times New Roman"/>
          <w:lang w:val="en-GB"/>
        </w:rPr>
        <w:t>RP-</w:t>
      </w:r>
      <w:r w:rsidRPr="00E560C6">
        <w:rPr>
          <w:rFonts w:cs="Times New Roman"/>
          <w:lang w:val="en-GB"/>
        </w:rPr>
        <w:t>23</w:t>
      </w:r>
      <w:r w:rsidR="00E560C6" w:rsidRPr="00E560C6">
        <w:rPr>
          <w:rFonts w:cs="Times New Roman"/>
          <w:lang w:val="en-GB"/>
        </w:rPr>
        <w:t>3170</w:t>
      </w:r>
      <w:r>
        <w:rPr>
          <w:rFonts w:cs="Times New Roman"/>
          <w:lang w:val="en-GB"/>
        </w:rPr>
        <w:t xml:space="preserve">, Status report for </w:t>
      </w:r>
      <w:r w:rsidRPr="007C5888">
        <w:rPr>
          <w:rFonts w:cs="Times New Roman"/>
          <w:lang w:val="en-GB"/>
        </w:rPr>
        <w:t>Study on NR frequency range 2 (FR2) Over-the-Air (OTA) testing enhancements</w:t>
      </w:r>
      <w:r>
        <w:rPr>
          <w:rFonts w:cs="Times New Roman"/>
          <w:lang w:val="en-GB"/>
        </w:rPr>
        <w:t xml:space="preserve">, </w:t>
      </w:r>
      <w:r w:rsidRPr="007C5888">
        <w:rPr>
          <w:rFonts w:cs="Times New Roman"/>
          <w:lang w:val="en-GB"/>
        </w:rPr>
        <w:t>3GPP TSG RAN meeting #102</w:t>
      </w:r>
      <w:r>
        <w:rPr>
          <w:rFonts w:cs="Times New Roman"/>
          <w:lang w:val="en-GB"/>
        </w:rPr>
        <w:t xml:space="preserve">, </w:t>
      </w:r>
      <w:r w:rsidRPr="007C5888">
        <w:rPr>
          <w:rFonts w:cs="Times New Roman"/>
          <w:lang w:val="en-GB"/>
        </w:rPr>
        <w:t>Edinburgh, Scotland, December 11-15, 2023</w:t>
      </w:r>
      <w:r>
        <w:rPr>
          <w:rFonts w:cs="Times New Roman"/>
          <w:lang w:val="en-GB"/>
        </w:rPr>
        <w:t>.</w:t>
      </w:r>
    </w:p>
    <w:p w14:paraId="2E41C1D8" w14:textId="437E95B1" w:rsidR="007C5888" w:rsidRPr="007C5888" w:rsidRDefault="007C5888" w:rsidP="007C5888">
      <w:pPr>
        <w:pStyle w:val="ListParagraph"/>
        <w:numPr>
          <w:ilvl w:val="0"/>
          <w:numId w:val="33"/>
        </w:numPr>
        <w:jc w:val="both"/>
        <w:rPr>
          <w:rFonts w:cs="Times New Roman"/>
          <w:lang w:val="en-GB"/>
        </w:rPr>
      </w:pPr>
      <w:r w:rsidRPr="007C5888">
        <w:rPr>
          <w:rFonts w:cs="Times New Roman"/>
          <w:lang w:val="en-GB"/>
        </w:rPr>
        <w:t>R4-2318226</w:t>
      </w:r>
      <w:r>
        <w:rPr>
          <w:rFonts w:cs="Times New Roman"/>
          <w:lang w:val="en-GB"/>
        </w:rPr>
        <w:t xml:space="preserve">, </w:t>
      </w:r>
      <w:r w:rsidRPr="007C5888">
        <w:rPr>
          <w:rFonts w:cs="Times New Roman"/>
          <w:lang w:val="en-GB"/>
        </w:rPr>
        <w:t>Topic summary for [109][334] FS_NR_FR2_OTA_enh</w:t>
      </w:r>
      <w:r>
        <w:rPr>
          <w:rFonts w:cs="Times New Roman"/>
          <w:lang w:val="en-GB"/>
        </w:rPr>
        <w:t xml:space="preserve">, Qualcomm, </w:t>
      </w:r>
      <w:r w:rsidRPr="007C5888">
        <w:rPr>
          <w:rFonts w:cs="Times New Roman"/>
          <w:lang w:val="en-GB"/>
        </w:rPr>
        <w:t>3GPP TSG-RAN WG4 Meeting #109</w:t>
      </w:r>
      <w:r>
        <w:rPr>
          <w:rFonts w:cs="Times New Roman"/>
          <w:lang w:val="en-GB"/>
        </w:rPr>
        <w:t xml:space="preserve"> ,</w:t>
      </w:r>
      <w:r w:rsidRPr="007C5888">
        <w:rPr>
          <w:rFonts w:cs="Times New Roman"/>
          <w:lang w:val="en-GB"/>
        </w:rPr>
        <w:t>Chicago, US, November 13 – 17, 2023</w:t>
      </w:r>
      <w:r>
        <w:rPr>
          <w:rFonts w:cs="Times New Roman"/>
          <w:lang w:val="en-GB"/>
        </w:rPr>
        <w:t>.</w:t>
      </w:r>
    </w:p>
    <w:bookmarkEnd w:id="17"/>
    <w:p w14:paraId="3AE14AA2" w14:textId="77777777" w:rsidR="00617326" w:rsidRDefault="00617326" w:rsidP="00EA3AF4">
      <w:pPr>
        <w:rPr>
          <w:noProof/>
        </w:rPr>
      </w:pPr>
    </w:p>
    <w:sectPr w:rsidR="00617326" w:rsidSect="00E22D4E">
      <w:pgSz w:w="11907" w:h="16840" w:code="9"/>
      <w:pgMar w:top="720" w:right="720" w:bottom="720" w:left="72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0A2F4" w14:textId="77777777" w:rsidR="00D35B74" w:rsidRDefault="00D35B74" w:rsidP="00001C9B">
      <w:pPr>
        <w:spacing w:after="0" w:line="240" w:lineRule="auto"/>
      </w:pPr>
      <w:r>
        <w:separator/>
      </w:r>
    </w:p>
  </w:endnote>
  <w:endnote w:type="continuationSeparator" w:id="0">
    <w:p w14:paraId="7765A16A" w14:textId="77777777" w:rsidR="00D35B74" w:rsidRDefault="00D35B74" w:rsidP="00001C9B">
      <w:pPr>
        <w:spacing w:after="0" w:line="240" w:lineRule="auto"/>
      </w:pPr>
      <w:r>
        <w:continuationSeparator/>
      </w:r>
    </w:p>
  </w:endnote>
  <w:endnote w:type="continuationNotice" w:id="1">
    <w:p w14:paraId="22EEE579" w14:textId="77777777" w:rsidR="00D35B74" w:rsidRDefault="00D35B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BB446" w14:textId="77777777" w:rsidR="00D35B74" w:rsidRDefault="00D35B74" w:rsidP="00001C9B">
      <w:pPr>
        <w:spacing w:after="0" w:line="240" w:lineRule="auto"/>
      </w:pPr>
      <w:r>
        <w:separator/>
      </w:r>
    </w:p>
  </w:footnote>
  <w:footnote w:type="continuationSeparator" w:id="0">
    <w:p w14:paraId="1A441BE1" w14:textId="77777777" w:rsidR="00D35B74" w:rsidRDefault="00D35B74" w:rsidP="00001C9B">
      <w:pPr>
        <w:spacing w:after="0" w:line="240" w:lineRule="auto"/>
      </w:pPr>
      <w:r>
        <w:continuationSeparator/>
      </w:r>
    </w:p>
  </w:footnote>
  <w:footnote w:type="continuationNotice" w:id="1">
    <w:p w14:paraId="6DAEC575" w14:textId="77777777" w:rsidR="00D35B74" w:rsidRDefault="00D35B7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36FCD"/>
    <w:multiLevelType w:val="multilevel"/>
    <w:tmpl w:val="A01CC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BE543A78"/>
    <w:lvl w:ilvl="0" w:tplc="7610D5E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E2005"/>
    <w:multiLevelType w:val="multilevel"/>
    <w:tmpl w:val="360847B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0FD06393"/>
    <w:multiLevelType w:val="multilevel"/>
    <w:tmpl w:val="86863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021A6F"/>
    <w:multiLevelType w:val="multilevel"/>
    <w:tmpl w:val="9476F8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C240E3"/>
    <w:multiLevelType w:val="multilevel"/>
    <w:tmpl w:val="0A083F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5A1753"/>
    <w:multiLevelType w:val="multilevel"/>
    <w:tmpl w:val="FD041C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2F6936"/>
    <w:multiLevelType w:val="hybridMultilevel"/>
    <w:tmpl w:val="5FFCE3D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6472D3C"/>
    <w:multiLevelType w:val="hybridMultilevel"/>
    <w:tmpl w:val="8CD2F704"/>
    <w:lvl w:ilvl="0" w:tplc="0854E92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C27D34"/>
    <w:multiLevelType w:val="hybridMultilevel"/>
    <w:tmpl w:val="2B56D9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BFE6EF2"/>
    <w:multiLevelType w:val="multilevel"/>
    <w:tmpl w:val="35AEE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5D5A37"/>
    <w:multiLevelType w:val="multilevel"/>
    <w:tmpl w:val="54C6C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BA3A0C"/>
    <w:multiLevelType w:val="multilevel"/>
    <w:tmpl w:val="2BD4C9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4A79F5"/>
    <w:multiLevelType w:val="multilevel"/>
    <w:tmpl w:val="DAE64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4E0092"/>
    <w:multiLevelType w:val="hybridMultilevel"/>
    <w:tmpl w:val="1720A9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3272A7"/>
    <w:multiLevelType w:val="multilevel"/>
    <w:tmpl w:val="638A3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4C029EA"/>
    <w:multiLevelType w:val="hybridMultilevel"/>
    <w:tmpl w:val="57F6C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30169E"/>
    <w:multiLevelType w:val="hybridMultilevel"/>
    <w:tmpl w:val="36641758"/>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1584" w:hanging="360"/>
      </w:pPr>
      <w:rPr>
        <w:rFonts w:ascii="Times New Roman" w:hAnsi="Times New Roman" w:hint="default"/>
        <w:b/>
        <w:i w:val="0"/>
        <w:color w:val="auto"/>
        <w:sz w:val="20"/>
      </w:rPr>
    </w:lvl>
    <w:lvl w:ilvl="1" w:tplc="04090019">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9" w15:restartNumberingAfterBreak="0">
    <w:nsid w:val="48470B06"/>
    <w:multiLevelType w:val="multilevel"/>
    <w:tmpl w:val="50AE77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D6E3167"/>
    <w:multiLevelType w:val="hybridMultilevel"/>
    <w:tmpl w:val="A8684808"/>
    <w:lvl w:ilvl="0" w:tplc="DECCC3C8">
      <w:start w:val="1"/>
      <w:numFmt w:val="decimal"/>
      <w:pStyle w:val="RAN4proposal"/>
      <w:suff w:val="space"/>
      <w:lvlText w:val="Proposal %1:"/>
      <w:lvlJc w:val="left"/>
      <w:pPr>
        <w:ind w:left="0" w:firstLine="414"/>
      </w:pPr>
    </w:lvl>
    <w:lvl w:ilvl="1" w:tplc="33906622">
      <w:start w:val="1"/>
      <w:numFmt w:val="lowerLetter"/>
      <w:lvlText w:val="%2."/>
      <w:lvlJc w:val="left"/>
      <w:pPr>
        <w:ind w:left="153" w:hanging="360"/>
      </w:pPr>
      <w:rPr>
        <w:color w:val="auto"/>
      </w:rPr>
    </w:lvl>
    <w:lvl w:ilvl="2" w:tplc="0409001B">
      <w:start w:val="1"/>
      <w:numFmt w:val="lowerRoman"/>
      <w:lvlText w:val="%3."/>
      <w:lvlJc w:val="right"/>
      <w:pPr>
        <w:ind w:left="873" w:hanging="180"/>
      </w:pPr>
    </w:lvl>
    <w:lvl w:ilvl="3" w:tplc="0409000F">
      <w:start w:val="1"/>
      <w:numFmt w:val="decimal"/>
      <w:lvlText w:val="%4."/>
      <w:lvlJc w:val="left"/>
      <w:pPr>
        <w:ind w:left="1593" w:hanging="360"/>
      </w:pPr>
    </w:lvl>
    <w:lvl w:ilvl="4" w:tplc="04090019" w:tentative="1">
      <w:start w:val="1"/>
      <w:numFmt w:val="lowerLetter"/>
      <w:lvlText w:val="%5."/>
      <w:lvlJc w:val="left"/>
      <w:pPr>
        <w:ind w:left="2313" w:hanging="360"/>
      </w:pPr>
    </w:lvl>
    <w:lvl w:ilvl="5" w:tplc="0409001B" w:tentative="1">
      <w:start w:val="1"/>
      <w:numFmt w:val="lowerRoman"/>
      <w:lvlText w:val="%6."/>
      <w:lvlJc w:val="right"/>
      <w:pPr>
        <w:ind w:left="3033" w:hanging="180"/>
      </w:pPr>
    </w:lvl>
    <w:lvl w:ilvl="6" w:tplc="0409000F" w:tentative="1">
      <w:start w:val="1"/>
      <w:numFmt w:val="decimal"/>
      <w:lvlText w:val="%7."/>
      <w:lvlJc w:val="left"/>
      <w:pPr>
        <w:ind w:left="3753" w:hanging="360"/>
      </w:pPr>
    </w:lvl>
    <w:lvl w:ilvl="7" w:tplc="04090019" w:tentative="1">
      <w:start w:val="1"/>
      <w:numFmt w:val="lowerLetter"/>
      <w:lvlText w:val="%8."/>
      <w:lvlJc w:val="left"/>
      <w:pPr>
        <w:ind w:left="4473" w:hanging="360"/>
      </w:pPr>
    </w:lvl>
    <w:lvl w:ilvl="8" w:tplc="0409001B" w:tentative="1">
      <w:start w:val="1"/>
      <w:numFmt w:val="lowerRoman"/>
      <w:lvlText w:val="%9."/>
      <w:lvlJc w:val="right"/>
      <w:pPr>
        <w:ind w:left="5193"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D10CE9"/>
    <w:multiLevelType w:val="multilevel"/>
    <w:tmpl w:val="037019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E0A2994"/>
    <w:multiLevelType w:val="multilevel"/>
    <w:tmpl w:val="90DCE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7B037F"/>
    <w:multiLevelType w:val="multilevel"/>
    <w:tmpl w:val="B1E8B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F13543F"/>
    <w:multiLevelType w:val="hybridMultilevel"/>
    <w:tmpl w:val="89805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6A6039"/>
    <w:multiLevelType w:val="multilevel"/>
    <w:tmpl w:val="58D66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F8D1E8E"/>
    <w:multiLevelType w:val="hybridMultilevel"/>
    <w:tmpl w:val="AB06983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0286576"/>
    <w:multiLevelType w:val="multilevel"/>
    <w:tmpl w:val="6024B0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338413F"/>
    <w:multiLevelType w:val="hybridMultilevel"/>
    <w:tmpl w:val="A544C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565748"/>
    <w:multiLevelType w:val="multilevel"/>
    <w:tmpl w:val="41001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990857"/>
    <w:multiLevelType w:val="multilevel"/>
    <w:tmpl w:val="652CD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53A2F72"/>
    <w:multiLevelType w:val="multilevel"/>
    <w:tmpl w:val="D2F80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5967C07"/>
    <w:multiLevelType w:val="hybridMultilevel"/>
    <w:tmpl w:val="F6329D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65C217B"/>
    <w:multiLevelType w:val="multilevel"/>
    <w:tmpl w:val="B104904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color w:val="auto"/>
      </w:rPr>
    </w:lvl>
    <w:lvl w:ilvl="2">
      <w:start w:val="1"/>
      <w:numFmt w:val="decimal"/>
      <w:pStyle w:val="RAN4H3"/>
      <w:lvlText w:val="%1.%2.%3"/>
      <w:lvlJc w:val="left"/>
      <w:pPr>
        <w:ind w:left="1224" w:hanging="504"/>
      </w:pPr>
      <w:rPr>
        <w:rFonts w:hint="default"/>
        <w:sz w:val="28"/>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79878AF"/>
    <w:multiLevelType w:val="hybridMultilevel"/>
    <w:tmpl w:val="25EC38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AF17DFD"/>
    <w:multiLevelType w:val="multilevel"/>
    <w:tmpl w:val="61568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BFD09C1"/>
    <w:multiLevelType w:val="multilevel"/>
    <w:tmpl w:val="D410ED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C18201D"/>
    <w:multiLevelType w:val="hybridMultilevel"/>
    <w:tmpl w:val="45EE1D02"/>
    <w:lvl w:ilvl="0" w:tplc="0854E92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C71936"/>
    <w:multiLevelType w:val="multilevel"/>
    <w:tmpl w:val="72C71936"/>
    <w:lvl w:ilvl="0">
      <w:start w:val="1"/>
      <w:numFmt w:val="decimal"/>
      <w:lvlText w:val="%1"/>
      <w:lvlJc w:val="left"/>
      <w:pPr>
        <w:tabs>
          <w:tab w:val="left" w:pos="432"/>
        </w:tabs>
        <w:ind w:left="432" w:hanging="432"/>
      </w:pPr>
      <w:rPr>
        <w:strike w:val="0"/>
        <w:dstrike w:val="0"/>
        <w:u w:val="none"/>
        <w:effect w:val="none"/>
      </w:rPr>
    </w:lvl>
    <w:lvl w:ilvl="1">
      <w:start w:val="1"/>
      <w:numFmt w:val="decimal"/>
      <w:lvlText w:val="%1.%2"/>
      <w:lvlJc w:val="left"/>
      <w:pPr>
        <w:tabs>
          <w:tab w:val="left" w:pos="576"/>
        </w:tabs>
        <w:ind w:left="576" w:hanging="576"/>
      </w:pPr>
      <w:rPr>
        <w:strike w:val="0"/>
        <w:dstrike w:val="0"/>
        <w:color w:val="000000"/>
        <w:u w:val="none"/>
        <w:effect w:val="none"/>
      </w:rPr>
    </w:lvl>
    <w:lvl w:ilvl="2">
      <w:start w:val="1"/>
      <w:numFmt w:val="decimal"/>
      <w:lvlText w:val="%1.%2.%3"/>
      <w:lvlJc w:val="left"/>
      <w:pPr>
        <w:tabs>
          <w:tab w:val="left" w:pos="1146"/>
        </w:tabs>
        <w:ind w:left="1146" w:hanging="720"/>
      </w:pPr>
      <w:rPr>
        <w:strike w:val="0"/>
        <w:dstrike w:val="0"/>
        <w:u w:val="none"/>
        <w:effect w:val="none"/>
      </w:rPr>
    </w:lvl>
    <w:lvl w:ilvl="3">
      <w:start w:val="1"/>
      <w:numFmt w:val="decimal"/>
      <w:lvlText w:val="%1.%2.%3.%4"/>
      <w:lvlJc w:val="left"/>
      <w:pPr>
        <w:tabs>
          <w:tab w:val="left" w:pos="864"/>
        </w:tabs>
        <w:ind w:left="864" w:hanging="864"/>
      </w:pPr>
      <w:rPr>
        <w:strike w:val="0"/>
        <w:dstrike w:val="0"/>
        <w:u w:val="none"/>
        <w:effect w:val="none"/>
      </w:r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2" w15:restartNumberingAfterBreak="0">
    <w:nsid w:val="75AC09A4"/>
    <w:multiLevelType w:val="multilevel"/>
    <w:tmpl w:val="1262A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A1C6284"/>
    <w:multiLevelType w:val="multilevel"/>
    <w:tmpl w:val="5308D4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AAF53D0"/>
    <w:multiLevelType w:val="hybridMultilevel"/>
    <w:tmpl w:val="14AA1AC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E857E5"/>
    <w:multiLevelType w:val="hybridMultilevel"/>
    <w:tmpl w:val="851E56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02946758">
    <w:abstractNumId w:val="21"/>
  </w:num>
  <w:num w:numId="2" w16cid:durableId="361980072">
    <w:abstractNumId w:val="18"/>
  </w:num>
  <w:num w:numId="3" w16cid:durableId="927813965">
    <w:abstractNumId w:val="20"/>
  </w:num>
  <w:num w:numId="4" w16cid:durableId="917521702">
    <w:abstractNumId w:val="36"/>
  </w:num>
  <w:num w:numId="5" w16cid:durableId="671375316">
    <w:abstractNumId w:val="31"/>
  </w:num>
  <w:num w:numId="6" w16cid:durableId="1427069136">
    <w:abstractNumId w:val="1"/>
  </w:num>
  <w:num w:numId="7" w16cid:durableId="1455634303">
    <w:abstractNumId w:val="14"/>
  </w:num>
  <w:num w:numId="8" w16cid:durableId="1356613247">
    <w:abstractNumId w:val="7"/>
  </w:num>
  <w:num w:numId="9" w16cid:durableId="1367170899">
    <w:abstractNumId w:val="17"/>
  </w:num>
  <w:num w:numId="10" w16cid:durableId="6889920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1993571">
    <w:abstractNumId w:val="18"/>
  </w:num>
  <w:num w:numId="12" w16cid:durableId="234096432">
    <w:abstractNumId w:val="18"/>
  </w:num>
  <w:num w:numId="13" w16cid:durableId="487597714">
    <w:abstractNumId w:val="20"/>
  </w:num>
  <w:num w:numId="14" w16cid:durableId="395093">
    <w:abstractNumId w:val="11"/>
    <w:lvlOverride w:ilvl="0">
      <w:startOverride w:val="1"/>
    </w:lvlOverride>
  </w:num>
  <w:num w:numId="15" w16cid:durableId="1977953323">
    <w:abstractNumId w:val="33"/>
  </w:num>
  <w:num w:numId="16" w16cid:durableId="460349737">
    <w:abstractNumId w:val="0"/>
  </w:num>
  <w:num w:numId="17" w16cid:durableId="491070359">
    <w:abstractNumId w:val="24"/>
  </w:num>
  <w:num w:numId="18" w16cid:durableId="1922835953">
    <w:abstractNumId w:val="42"/>
    <w:lvlOverride w:ilvl="0">
      <w:startOverride w:val="1"/>
    </w:lvlOverride>
  </w:num>
  <w:num w:numId="19" w16cid:durableId="2133858268">
    <w:abstractNumId w:val="10"/>
  </w:num>
  <w:num w:numId="20" w16cid:durableId="421075642">
    <w:abstractNumId w:val="3"/>
  </w:num>
  <w:num w:numId="21" w16cid:durableId="707215916">
    <w:abstractNumId w:val="25"/>
  </w:num>
  <w:num w:numId="22" w16cid:durableId="784034910">
    <w:abstractNumId w:val="4"/>
  </w:num>
  <w:num w:numId="23" w16cid:durableId="91560492">
    <w:abstractNumId w:val="29"/>
  </w:num>
  <w:num w:numId="24" w16cid:durableId="1514224847">
    <w:abstractNumId w:val="8"/>
  </w:num>
  <w:num w:numId="25" w16cid:durableId="203642304">
    <w:abstractNumId w:val="40"/>
  </w:num>
  <w:num w:numId="26" w16cid:durableId="564142660">
    <w:abstractNumId w:val="27"/>
  </w:num>
  <w:num w:numId="27" w16cid:durableId="1573152934">
    <w:abstractNumId w:val="22"/>
  </w:num>
  <w:num w:numId="28" w16cid:durableId="1972130166">
    <w:abstractNumId w:val="32"/>
  </w:num>
  <w:num w:numId="29" w16cid:durableId="1510021234">
    <w:abstractNumId w:val="5"/>
  </w:num>
  <w:num w:numId="30" w16cid:durableId="285240725">
    <w:abstractNumId w:val="19"/>
  </w:num>
  <w:num w:numId="31" w16cid:durableId="794178150">
    <w:abstractNumId w:val="6"/>
  </w:num>
  <w:num w:numId="32" w16cid:durableId="1074010180">
    <w:abstractNumId w:val="43"/>
  </w:num>
  <w:num w:numId="33" w16cid:durableId="1545829932">
    <w:abstractNumId w:val="44"/>
  </w:num>
  <w:num w:numId="34" w16cid:durableId="949093426">
    <w:abstractNumId w:val="30"/>
  </w:num>
  <w:num w:numId="35" w16cid:durableId="263850936">
    <w:abstractNumId w:val="2"/>
  </w:num>
  <w:num w:numId="36" w16cid:durableId="1966547553">
    <w:abstractNumId w:val="12"/>
  </w:num>
  <w:num w:numId="37" w16cid:durableId="251354384">
    <w:abstractNumId w:val="39"/>
  </w:num>
  <w:num w:numId="38" w16cid:durableId="967706085">
    <w:abstractNumId w:val="28"/>
  </w:num>
  <w:num w:numId="39" w16cid:durableId="223222376">
    <w:abstractNumId w:val="38"/>
  </w:num>
  <w:num w:numId="40" w16cid:durableId="814682755">
    <w:abstractNumId w:val="23"/>
  </w:num>
  <w:num w:numId="41" w16cid:durableId="854198067">
    <w:abstractNumId w:val="26"/>
  </w:num>
  <w:num w:numId="42" w16cid:durableId="1555198401">
    <w:abstractNumId w:val="34"/>
  </w:num>
  <w:num w:numId="43" w16cid:durableId="1267956579">
    <w:abstractNumId w:val="15"/>
  </w:num>
  <w:num w:numId="44" w16cid:durableId="126513224">
    <w:abstractNumId w:val="13"/>
  </w:num>
  <w:num w:numId="45" w16cid:durableId="7328934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58742559">
    <w:abstractNumId w:val="36"/>
  </w:num>
  <w:num w:numId="47" w16cid:durableId="1586256296">
    <w:abstractNumId w:val="20"/>
    <w:lvlOverride w:ilvl="0">
      <w:startOverride w:val="1"/>
    </w:lvlOverride>
  </w:num>
  <w:num w:numId="48" w16cid:durableId="782116035">
    <w:abstractNumId w:val="20"/>
    <w:lvlOverride w:ilvl="0">
      <w:startOverride w:val="1"/>
    </w:lvlOverride>
  </w:num>
  <w:num w:numId="49" w16cid:durableId="601912039">
    <w:abstractNumId w:val="37"/>
  </w:num>
  <w:num w:numId="50" w16cid:durableId="1533347272">
    <w:abstractNumId w:val="45"/>
  </w:num>
  <w:num w:numId="51" w16cid:durableId="1678272050">
    <w:abstractNumId w:val="35"/>
  </w:num>
  <w:num w:numId="52" w16cid:durableId="2048023899">
    <w:abstractNumId w:val="9"/>
  </w:num>
  <w:num w:numId="53" w16cid:durableId="626157102">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5733D"/>
    <w:rsid w:val="000000DA"/>
    <w:rsid w:val="00001ADA"/>
    <w:rsid w:val="00001AE8"/>
    <w:rsid w:val="00001B8D"/>
    <w:rsid w:val="00001C9B"/>
    <w:rsid w:val="00001EB9"/>
    <w:rsid w:val="000023A9"/>
    <w:rsid w:val="00002CF8"/>
    <w:rsid w:val="00003605"/>
    <w:rsid w:val="000040DC"/>
    <w:rsid w:val="00006B94"/>
    <w:rsid w:val="000073D8"/>
    <w:rsid w:val="000078C7"/>
    <w:rsid w:val="00010010"/>
    <w:rsid w:val="00010155"/>
    <w:rsid w:val="00010810"/>
    <w:rsid w:val="00010FF7"/>
    <w:rsid w:val="00011360"/>
    <w:rsid w:val="00012922"/>
    <w:rsid w:val="000151EF"/>
    <w:rsid w:val="00016D2F"/>
    <w:rsid w:val="00016FD8"/>
    <w:rsid w:val="0001793A"/>
    <w:rsid w:val="0002012B"/>
    <w:rsid w:val="0002112A"/>
    <w:rsid w:val="00021513"/>
    <w:rsid w:val="000227D4"/>
    <w:rsid w:val="00022915"/>
    <w:rsid w:val="000233AF"/>
    <w:rsid w:val="000239F5"/>
    <w:rsid w:val="000256CD"/>
    <w:rsid w:val="000263E4"/>
    <w:rsid w:val="00026CBD"/>
    <w:rsid w:val="00030A8D"/>
    <w:rsid w:val="00032600"/>
    <w:rsid w:val="000335CE"/>
    <w:rsid w:val="00034ACF"/>
    <w:rsid w:val="00035F26"/>
    <w:rsid w:val="00041F17"/>
    <w:rsid w:val="0004385D"/>
    <w:rsid w:val="00043A79"/>
    <w:rsid w:val="000448BB"/>
    <w:rsid w:val="00045CE8"/>
    <w:rsid w:val="000475D9"/>
    <w:rsid w:val="00050FB2"/>
    <w:rsid w:val="000553DA"/>
    <w:rsid w:val="0005657A"/>
    <w:rsid w:val="00056AD8"/>
    <w:rsid w:val="00057C93"/>
    <w:rsid w:val="00060F5A"/>
    <w:rsid w:val="000611C1"/>
    <w:rsid w:val="000615CD"/>
    <w:rsid w:val="00062751"/>
    <w:rsid w:val="000659E4"/>
    <w:rsid w:val="00067CDA"/>
    <w:rsid w:val="00067D8C"/>
    <w:rsid w:val="000743BE"/>
    <w:rsid w:val="00075635"/>
    <w:rsid w:val="000756C3"/>
    <w:rsid w:val="00077063"/>
    <w:rsid w:val="000777D2"/>
    <w:rsid w:val="000803E2"/>
    <w:rsid w:val="00081C9F"/>
    <w:rsid w:val="00083023"/>
    <w:rsid w:val="00085297"/>
    <w:rsid w:val="0008612A"/>
    <w:rsid w:val="00087807"/>
    <w:rsid w:val="00090E18"/>
    <w:rsid w:val="00091D89"/>
    <w:rsid w:val="00091F31"/>
    <w:rsid w:val="00095547"/>
    <w:rsid w:val="000957AE"/>
    <w:rsid w:val="000A0ABB"/>
    <w:rsid w:val="000A10BC"/>
    <w:rsid w:val="000A13F2"/>
    <w:rsid w:val="000A1F74"/>
    <w:rsid w:val="000A542C"/>
    <w:rsid w:val="000A60D3"/>
    <w:rsid w:val="000B0056"/>
    <w:rsid w:val="000B082A"/>
    <w:rsid w:val="000B3BE6"/>
    <w:rsid w:val="000B4540"/>
    <w:rsid w:val="000B56F7"/>
    <w:rsid w:val="000B68CF"/>
    <w:rsid w:val="000B7F79"/>
    <w:rsid w:val="000C167C"/>
    <w:rsid w:val="000C2684"/>
    <w:rsid w:val="000C3882"/>
    <w:rsid w:val="000C3C7B"/>
    <w:rsid w:val="000D0E37"/>
    <w:rsid w:val="000D0F93"/>
    <w:rsid w:val="000D1919"/>
    <w:rsid w:val="000D19F0"/>
    <w:rsid w:val="000D327D"/>
    <w:rsid w:val="000D360E"/>
    <w:rsid w:val="000D4511"/>
    <w:rsid w:val="000D6A7E"/>
    <w:rsid w:val="000D7517"/>
    <w:rsid w:val="000E056A"/>
    <w:rsid w:val="000E29C9"/>
    <w:rsid w:val="000E4551"/>
    <w:rsid w:val="000E4CEA"/>
    <w:rsid w:val="000F2E3A"/>
    <w:rsid w:val="000F3171"/>
    <w:rsid w:val="000F3F73"/>
    <w:rsid w:val="000F4F49"/>
    <w:rsid w:val="000F6A3A"/>
    <w:rsid w:val="000F6DA5"/>
    <w:rsid w:val="000F6FE2"/>
    <w:rsid w:val="000F7546"/>
    <w:rsid w:val="00101608"/>
    <w:rsid w:val="001026E4"/>
    <w:rsid w:val="00103193"/>
    <w:rsid w:val="00104F69"/>
    <w:rsid w:val="00105357"/>
    <w:rsid w:val="00106416"/>
    <w:rsid w:val="00106BBA"/>
    <w:rsid w:val="001073DE"/>
    <w:rsid w:val="0010792E"/>
    <w:rsid w:val="00110481"/>
    <w:rsid w:val="00110EF3"/>
    <w:rsid w:val="001121FB"/>
    <w:rsid w:val="00112686"/>
    <w:rsid w:val="001127C9"/>
    <w:rsid w:val="00113EB0"/>
    <w:rsid w:val="00113FA5"/>
    <w:rsid w:val="001140A4"/>
    <w:rsid w:val="00115B88"/>
    <w:rsid w:val="00117930"/>
    <w:rsid w:val="00117A44"/>
    <w:rsid w:val="00120EE8"/>
    <w:rsid w:val="00122FC8"/>
    <w:rsid w:val="00126A88"/>
    <w:rsid w:val="001272CA"/>
    <w:rsid w:val="00127911"/>
    <w:rsid w:val="00132CA4"/>
    <w:rsid w:val="00132D76"/>
    <w:rsid w:val="00132DBB"/>
    <w:rsid w:val="00132F6A"/>
    <w:rsid w:val="001335AC"/>
    <w:rsid w:val="00133913"/>
    <w:rsid w:val="00136051"/>
    <w:rsid w:val="001377E8"/>
    <w:rsid w:val="00137962"/>
    <w:rsid w:val="00140221"/>
    <w:rsid w:val="001407BF"/>
    <w:rsid w:val="00141043"/>
    <w:rsid w:val="0014236A"/>
    <w:rsid w:val="00143182"/>
    <w:rsid w:val="00144534"/>
    <w:rsid w:val="001466AC"/>
    <w:rsid w:val="00146EB2"/>
    <w:rsid w:val="0014766A"/>
    <w:rsid w:val="00152049"/>
    <w:rsid w:val="001525BA"/>
    <w:rsid w:val="00152E4F"/>
    <w:rsid w:val="00153413"/>
    <w:rsid w:val="00153B8C"/>
    <w:rsid w:val="001548AB"/>
    <w:rsid w:val="001610B4"/>
    <w:rsid w:val="001642FC"/>
    <w:rsid w:val="0016496B"/>
    <w:rsid w:val="0016551F"/>
    <w:rsid w:val="001655EA"/>
    <w:rsid w:val="00165ED6"/>
    <w:rsid w:val="0016665A"/>
    <w:rsid w:val="00166AFF"/>
    <w:rsid w:val="001706D9"/>
    <w:rsid w:val="001712C8"/>
    <w:rsid w:val="00173F9A"/>
    <w:rsid w:val="001743E2"/>
    <w:rsid w:val="001745F8"/>
    <w:rsid w:val="00174C0C"/>
    <w:rsid w:val="0017745C"/>
    <w:rsid w:val="00177E12"/>
    <w:rsid w:val="001808DD"/>
    <w:rsid w:val="00181C51"/>
    <w:rsid w:val="00182F12"/>
    <w:rsid w:val="001838CF"/>
    <w:rsid w:val="00184543"/>
    <w:rsid w:val="00184891"/>
    <w:rsid w:val="0018676B"/>
    <w:rsid w:val="001868EE"/>
    <w:rsid w:val="00190121"/>
    <w:rsid w:val="00192309"/>
    <w:rsid w:val="001937F4"/>
    <w:rsid w:val="00196992"/>
    <w:rsid w:val="001A0454"/>
    <w:rsid w:val="001A0E89"/>
    <w:rsid w:val="001A2296"/>
    <w:rsid w:val="001A3147"/>
    <w:rsid w:val="001A3BA4"/>
    <w:rsid w:val="001A3BB0"/>
    <w:rsid w:val="001A6D1F"/>
    <w:rsid w:val="001B02C6"/>
    <w:rsid w:val="001B58B3"/>
    <w:rsid w:val="001B5FCA"/>
    <w:rsid w:val="001B6BA2"/>
    <w:rsid w:val="001B74D1"/>
    <w:rsid w:val="001B7758"/>
    <w:rsid w:val="001C0FB1"/>
    <w:rsid w:val="001C1290"/>
    <w:rsid w:val="001C1DBE"/>
    <w:rsid w:val="001C4F1F"/>
    <w:rsid w:val="001C5C1D"/>
    <w:rsid w:val="001C6030"/>
    <w:rsid w:val="001D28FD"/>
    <w:rsid w:val="001E10ED"/>
    <w:rsid w:val="001E26DE"/>
    <w:rsid w:val="001E30F6"/>
    <w:rsid w:val="001E3BFA"/>
    <w:rsid w:val="001E6761"/>
    <w:rsid w:val="001E7D41"/>
    <w:rsid w:val="001F092C"/>
    <w:rsid w:val="001F1358"/>
    <w:rsid w:val="001F4F91"/>
    <w:rsid w:val="0020046C"/>
    <w:rsid w:val="002037F0"/>
    <w:rsid w:val="002038F9"/>
    <w:rsid w:val="00203BCF"/>
    <w:rsid w:val="00204615"/>
    <w:rsid w:val="00204C12"/>
    <w:rsid w:val="00211395"/>
    <w:rsid w:val="002113AC"/>
    <w:rsid w:val="00211B17"/>
    <w:rsid w:val="00212D2F"/>
    <w:rsid w:val="002131C1"/>
    <w:rsid w:val="00213A41"/>
    <w:rsid w:val="00214600"/>
    <w:rsid w:val="002146F6"/>
    <w:rsid w:val="00214DFC"/>
    <w:rsid w:val="00217E0E"/>
    <w:rsid w:val="00217EE5"/>
    <w:rsid w:val="00220A2C"/>
    <w:rsid w:val="0022112C"/>
    <w:rsid w:val="00223319"/>
    <w:rsid w:val="00223FC3"/>
    <w:rsid w:val="0022471E"/>
    <w:rsid w:val="0022769C"/>
    <w:rsid w:val="0023046F"/>
    <w:rsid w:val="002311D3"/>
    <w:rsid w:val="00232F8A"/>
    <w:rsid w:val="00233800"/>
    <w:rsid w:val="002340C5"/>
    <w:rsid w:val="00235F5C"/>
    <w:rsid w:val="002366CF"/>
    <w:rsid w:val="00236B46"/>
    <w:rsid w:val="002439DE"/>
    <w:rsid w:val="00243AC0"/>
    <w:rsid w:val="002542A4"/>
    <w:rsid w:val="0025733D"/>
    <w:rsid w:val="0025783C"/>
    <w:rsid w:val="00257E0E"/>
    <w:rsid w:val="00257F32"/>
    <w:rsid w:val="00257FA3"/>
    <w:rsid w:val="002712C2"/>
    <w:rsid w:val="00271971"/>
    <w:rsid w:val="00271CC9"/>
    <w:rsid w:val="00273A52"/>
    <w:rsid w:val="002751B2"/>
    <w:rsid w:val="00276A69"/>
    <w:rsid w:val="00277B56"/>
    <w:rsid w:val="002805EC"/>
    <w:rsid w:val="002810E1"/>
    <w:rsid w:val="00283A16"/>
    <w:rsid w:val="00284A07"/>
    <w:rsid w:val="00284E1F"/>
    <w:rsid w:val="00294859"/>
    <w:rsid w:val="00295D40"/>
    <w:rsid w:val="00296004"/>
    <w:rsid w:val="00296534"/>
    <w:rsid w:val="002972F5"/>
    <w:rsid w:val="00297CF3"/>
    <w:rsid w:val="002A19F5"/>
    <w:rsid w:val="002A204C"/>
    <w:rsid w:val="002A45AB"/>
    <w:rsid w:val="002A559F"/>
    <w:rsid w:val="002A5891"/>
    <w:rsid w:val="002A7EE6"/>
    <w:rsid w:val="002B0304"/>
    <w:rsid w:val="002B18C3"/>
    <w:rsid w:val="002B1C64"/>
    <w:rsid w:val="002B4922"/>
    <w:rsid w:val="002B4BD5"/>
    <w:rsid w:val="002B505D"/>
    <w:rsid w:val="002B628A"/>
    <w:rsid w:val="002B7311"/>
    <w:rsid w:val="002B7C5E"/>
    <w:rsid w:val="002C1DB9"/>
    <w:rsid w:val="002C22C3"/>
    <w:rsid w:val="002C2D19"/>
    <w:rsid w:val="002C316B"/>
    <w:rsid w:val="002C47F3"/>
    <w:rsid w:val="002C692C"/>
    <w:rsid w:val="002D10FA"/>
    <w:rsid w:val="002D3076"/>
    <w:rsid w:val="002D4C55"/>
    <w:rsid w:val="002D51DE"/>
    <w:rsid w:val="002D5455"/>
    <w:rsid w:val="002E17A5"/>
    <w:rsid w:val="002E1B16"/>
    <w:rsid w:val="002E2CF8"/>
    <w:rsid w:val="002E385B"/>
    <w:rsid w:val="002E4299"/>
    <w:rsid w:val="002E6DED"/>
    <w:rsid w:val="002F47CA"/>
    <w:rsid w:val="002F5F53"/>
    <w:rsid w:val="002F6644"/>
    <w:rsid w:val="002F6883"/>
    <w:rsid w:val="002F6A1D"/>
    <w:rsid w:val="00300516"/>
    <w:rsid w:val="00300956"/>
    <w:rsid w:val="00301550"/>
    <w:rsid w:val="003070C8"/>
    <w:rsid w:val="003077C9"/>
    <w:rsid w:val="003101F3"/>
    <w:rsid w:val="003153D0"/>
    <w:rsid w:val="00315655"/>
    <w:rsid w:val="00315F3E"/>
    <w:rsid w:val="0031612C"/>
    <w:rsid w:val="00317187"/>
    <w:rsid w:val="00320509"/>
    <w:rsid w:val="003205B1"/>
    <w:rsid w:val="00320748"/>
    <w:rsid w:val="00320C0B"/>
    <w:rsid w:val="003210F6"/>
    <w:rsid w:val="003214B8"/>
    <w:rsid w:val="00321A2F"/>
    <w:rsid w:val="00323C7E"/>
    <w:rsid w:val="0032450D"/>
    <w:rsid w:val="0032499A"/>
    <w:rsid w:val="00324D44"/>
    <w:rsid w:val="0032547D"/>
    <w:rsid w:val="00327CA5"/>
    <w:rsid w:val="00330BC4"/>
    <w:rsid w:val="00331B1F"/>
    <w:rsid w:val="003341F7"/>
    <w:rsid w:val="00334A8D"/>
    <w:rsid w:val="0033545E"/>
    <w:rsid w:val="00342AE8"/>
    <w:rsid w:val="00343667"/>
    <w:rsid w:val="00343F34"/>
    <w:rsid w:val="00344FA4"/>
    <w:rsid w:val="003453B0"/>
    <w:rsid w:val="00347287"/>
    <w:rsid w:val="00347FEC"/>
    <w:rsid w:val="00351037"/>
    <w:rsid w:val="00353814"/>
    <w:rsid w:val="003549AA"/>
    <w:rsid w:val="00356282"/>
    <w:rsid w:val="00356797"/>
    <w:rsid w:val="00356F45"/>
    <w:rsid w:val="0035758D"/>
    <w:rsid w:val="0036225A"/>
    <w:rsid w:val="00362323"/>
    <w:rsid w:val="00362616"/>
    <w:rsid w:val="00363164"/>
    <w:rsid w:val="003645BD"/>
    <w:rsid w:val="00366B74"/>
    <w:rsid w:val="003675A1"/>
    <w:rsid w:val="00370976"/>
    <w:rsid w:val="00372309"/>
    <w:rsid w:val="00372FC1"/>
    <w:rsid w:val="00374165"/>
    <w:rsid w:val="00377CA0"/>
    <w:rsid w:val="00380DED"/>
    <w:rsid w:val="00386C61"/>
    <w:rsid w:val="00386F88"/>
    <w:rsid w:val="00387ACB"/>
    <w:rsid w:val="00387CAD"/>
    <w:rsid w:val="00394E95"/>
    <w:rsid w:val="00396088"/>
    <w:rsid w:val="00396D03"/>
    <w:rsid w:val="00396FB3"/>
    <w:rsid w:val="003A0BE2"/>
    <w:rsid w:val="003A2197"/>
    <w:rsid w:val="003A2583"/>
    <w:rsid w:val="003A5192"/>
    <w:rsid w:val="003A5494"/>
    <w:rsid w:val="003A6CF5"/>
    <w:rsid w:val="003A710A"/>
    <w:rsid w:val="003A7803"/>
    <w:rsid w:val="003A7AE3"/>
    <w:rsid w:val="003B1612"/>
    <w:rsid w:val="003B1A1E"/>
    <w:rsid w:val="003B336B"/>
    <w:rsid w:val="003B4F63"/>
    <w:rsid w:val="003B4F65"/>
    <w:rsid w:val="003B5233"/>
    <w:rsid w:val="003B659E"/>
    <w:rsid w:val="003C0A3D"/>
    <w:rsid w:val="003C1945"/>
    <w:rsid w:val="003C1997"/>
    <w:rsid w:val="003C1F99"/>
    <w:rsid w:val="003C275E"/>
    <w:rsid w:val="003C409B"/>
    <w:rsid w:val="003C4971"/>
    <w:rsid w:val="003C4FDE"/>
    <w:rsid w:val="003C5FDC"/>
    <w:rsid w:val="003C62C5"/>
    <w:rsid w:val="003C6304"/>
    <w:rsid w:val="003C6FC1"/>
    <w:rsid w:val="003C74C2"/>
    <w:rsid w:val="003D4AC6"/>
    <w:rsid w:val="003D5D46"/>
    <w:rsid w:val="003E29E7"/>
    <w:rsid w:val="003E545E"/>
    <w:rsid w:val="003E58DF"/>
    <w:rsid w:val="003E5CAC"/>
    <w:rsid w:val="003E5F7A"/>
    <w:rsid w:val="003E6417"/>
    <w:rsid w:val="003E661D"/>
    <w:rsid w:val="003E6804"/>
    <w:rsid w:val="003E6E3F"/>
    <w:rsid w:val="003F1771"/>
    <w:rsid w:val="003F6902"/>
    <w:rsid w:val="00401C45"/>
    <w:rsid w:val="00403018"/>
    <w:rsid w:val="0040478B"/>
    <w:rsid w:val="00404C4C"/>
    <w:rsid w:val="004060C0"/>
    <w:rsid w:val="00410C81"/>
    <w:rsid w:val="0041423F"/>
    <w:rsid w:val="0041446B"/>
    <w:rsid w:val="00414589"/>
    <w:rsid w:val="00414F81"/>
    <w:rsid w:val="00415059"/>
    <w:rsid w:val="0041630F"/>
    <w:rsid w:val="00416802"/>
    <w:rsid w:val="00417270"/>
    <w:rsid w:val="00417D99"/>
    <w:rsid w:val="004254CA"/>
    <w:rsid w:val="00431CB0"/>
    <w:rsid w:val="00434E52"/>
    <w:rsid w:val="00436A0F"/>
    <w:rsid w:val="00436EDA"/>
    <w:rsid w:val="00437150"/>
    <w:rsid w:val="0043750A"/>
    <w:rsid w:val="004403E7"/>
    <w:rsid w:val="00440477"/>
    <w:rsid w:val="004407DB"/>
    <w:rsid w:val="00442A40"/>
    <w:rsid w:val="00443187"/>
    <w:rsid w:val="00443477"/>
    <w:rsid w:val="00444789"/>
    <w:rsid w:val="004459F6"/>
    <w:rsid w:val="004512F5"/>
    <w:rsid w:val="0045162B"/>
    <w:rsid w:val="004518C8"/>
    <w:rsid w:val="00452056"/>
    <w:rsid w:val="00452AAD"/>
    <w:rsid w:val="004540B2"/>
    <w:rsid w:val="004540BD"/>
    <w:rsid w:val="00457AD9"/>
    <w:rsid w:val="00461C57"/>
    <w:rsid w:val="00461E2F"/>
    <w:rsid w:val="00462F52"/>
    <w:rsid w:val="00463E01"/>
    <w:rsid w:val="004643EA"/>
    <w:rsid w:val="00465168"/>
    <w:rsid w:val="004677BE"/>
    <w:rsid w:val="00467C07"/>
    <w:rsid w:val="00472184"/>
    <w:rsid w:val="004732E9"/>
    <w:rsid w:val="004752F8"/>
    <w:rsid w:val="004769C4"/>
    <w:rsid w:val="00480B76"/>
    <w:rsid w:val="0048118F"/>
    <w:rsid w:val="0048361F"/>
    <w:rsid w:val="004854BB"/>
    <w:rsid w:val="00485BE2"/>
    <w:rsid w:val="00486C83"/>
    <w:rsid w:val="00486F59"/>
    <w:rsid w:val="00491011"/>
    <w:rsid w:val="00494ABC"/>
    <w:rsid w:val="00495026"/>
    <w:rsid w:val="00495688"/>
    <w:rsid w:val="00495899"/>
    <w:rsid w:val="00496606"/>
    <w:rsid w:val="004968A0"/>
    <w:rsid w:val="0049691F"/>
    <w:rsid w:val="004978B1"/>
    <w:rsid w:val="004A1243"/>
    <w:rsid w:val="004A1285"/>
    <w:rsid w:val="004A2B7C"/>
    <w:rsid w:val="004A6B1C"/>
    <w:rsid w:val="004A77EE"/>
    <w:rsid w:val="004B6DB6"/>
    <w:rsid w:val="004B7120"/>
    <w:rsid w:val="004C0139"/>
    <w:rsid w:val="004C02A8"/>
    <w:rsid w:val="004C322B"/>
    <w:rsid w:val="004C3EBE"/>
    <w:rsid w:val="004C41C8"/>
    <w:rsid w:val="004C7280"/>
    <w:rsid w:val="004D0152"/>
    <w:rsid w:val="004D179B"/>
    <w:rsid w:val="004D4997"/>
    <w:rsid w:val="004D51F0"/>
    <w:rsid w:val="004D5488"/>
    <w:rsid w:val="004E14EF"/>
    <w:rsid w:val="004E2C4F"/>
    <w:rsid w:val="004E3179"/>
    <w:rsid w:val="004E3676"/>
    <w:rsid w:val="004E4D0A"/>
    <w:rsid w:val="004E534C"/>
    <w:rsid w:val="004E5E66"/>
    <w:rsid w:val="004E6357"/>
    <w:rsid w:val="004E6741"/>
    <w:rsid w:val="004E78F1"/>
    <w:rsid w:val="004E7ADB"/>
    <w:rsid w:val="004F04B7"/>
    <w:rsid w:val="004F052E"/>
    <w:rsid w:val="004F1C0D"/>
    <w:rsid w:val="004F29DB"/>
    <w:rsid w:val="004F3AA9"/>
    <w:rsid w:val="004F411A"/>
    <w:rsid w:val="004F4EED"/>
    <w:rsid w:val="004F547A"/>
    <w:rsid w:val="004F5CAE"/>
    <w:rsid w:val="004F6C43"/>
    <w:rsid w:val="004F6ED3"/>
    <w:rsid w:val="00500270"/>
    <w:rsid w:val="0050122D"/>
    <w:rsid w:val="005031A4"/>
    <w:rsid w:val="00503B4D"/>
    <w:rsid w:val="00504988"/>
    <w:rsid w:val="00504EE9"/>
    <w:rsid w:val="00506F5C"/>
    <w:rsid w:val="0051027F"/>
    <w:rsid w:val="00512F6F"/>
    <w:rsid w:val="0051328D"/>
    <w:rsid w:val="005137E3"/>
    <w:rsid w:val="0051458E"/>
    <w:rsid w:val="0051606C"/>
    <w:rsid w:val="00516D7E"/>
    <w:rsid w:val="0051733D"/>
    <w:rsid w:val="00520C95"/>
    <w:rsid w:val="00521576"/>
    <w:rsid w:val="00521676"/>
    <w:rsid w:val="00521BAF"/>
    <w:rsid w:val="0052335D"/>
    <w:rsid w:val="00524B62"/>
    <w:rsid w:val="005250E6"/>
    <w:rsid w:val="0052779E"/>
    <w:rsid w:val="00530D5A"/>
    <w:rsid w:val="0053138D"/>
    <w:rsid w:val="0054015A"/>
    <w:rsid w:val="00542D23"/>
    <w:rsid w:val="00543FF7"/>
    <w:rsid w:val="0054442C"/>
    <w:rsid w:val="00545655"/>
    <w:rsid w:val="00545A72"/>
    <w:rsid w:val="00546C4D"/>
    <w:rsid w:val="00547408"/>
    <w:rsid w:val="00547925"/>
    <w:rsid w:val="00550285"/>
    <w:rsid w:val="00552CF0"/>
    <w:rsid w:val="00562492"/>
    <w:rsid w:val="00563473"/>
    <w:rsid w:val="00565233"/>
    <w:rsid w:val="00566325"/>
    <w:rsid w:val="0057150D"/>
    <w:rsid w:val="005716BB"/>
    <w:rsid w:val="005729CA"/>
    <w:rsid w:val="00572A20"/>
    <w:rsid w:val="005741AE"/>
    <w:rsid w:val="00575BDB"/>
    <w:rsid w:val="0057703E"/>
    <w:rsid w:val="00577FFD"/>
    <w:rsid w:val="0058077A"/>
    <w:rsid w:val="00582680"/>
    <w:rsid w:val="005836F8"/>
    <w:rsid w:val="00585B9B"/>
    <w:rsid w:val="00586C30"/>
    <w:rsid w:val="005918FA"/>
    <w:rsid w:val="00591AFA"/>
    <w:rsid w:val="00592439"/>
    <w:rsid w:val="00592A86"/>
    <w:rsid w:val="00593CE3"/>
    <w:rsid w:val="005959FB"/>
    <w:rsid w:val="005A0D03"/>
    <w:rsid w:val="005A1BFF"/>
    <w:rsid w:val="005A2B4D"/>
    <w:rsid w:val="005A40FE"/>
    <w:rsid w:val="005A5C24"/>
    <w:rsid w:val="005B04BC"/>
    <w:rsid w:val="005B2CEA"/>
    <w:rsid w:val="005B2F13"/>
    <w:rsid w:val="005B4801"/>
    <w:rsid w:val="005B4D12"/>
    <w:rsid w:val="005B5A47"/>
    <w:rsid w:val="005B6065"/>
    <w:rsid w:val="005B7ADB"/>
    <w:rsid w:val="005C01CF"/>
    <w:rsid w:val="005C128B"/>
    <w:rsid w:val="005C23A4"/>
    <w:rsid w:val="005C3466"/>
    <w:rsid w:val="005C72C2"/>
    <w:rsid w:val="005D0619"/>
    <w:rsid w:val="005D07F8"/>
    <w:rsid w:val="005D0955"/>
    <w:rsid w:val="005D179C"/>
    <w:rsid w:val="005D1CDF"/>
    <w:rsid w:val="005D2447"/>
    <w:rsid w:val="005D2BB7"/>
    <w:rsid w:val="005D2D68"/>
    <w:rsid w:val="005D4A29"/>
    <w:rsid w:val="005D605C"/>
    <w:rsid w:val="005D76FA"/>
    <w:rsid w:val="005E1BC5"/>
    <w:rsid w:val="005E2095"/>
    <w:rsid w:val="005E4291"/>
    <w:rsid w:val="005E4A2B"/>
    <w:rsid w:val="005E61A8"/>
    <w:rsid w:val="005F1723"/>
    <w:rsid w:val="005F51A6"/>
    <w:rsid w:val="005F6419"/>
    <w:rsid w:val="005F7B93"/>
    <w:rsid w:val="005F7D54"/>
    <w:rsid w:val="006011B7"/>
    <w:rsid w:val="00602213"/>
    <w:rsid w:val="00605392"/>
    <w:rsid w:val="0060543D"/>
    <w:rsid w:val="0061047E"/>
    <w:rsid w:val="006104DD"/>
    <w:rsid w:val="0061104F"/>
    <w:rsid w:val="006116B8"/>
    <w:rsid w:val="00611924"/>
    <w:rsid w:val="006130B5"/>
    <w:rsid w:val="00616EFF"/>
    <w:rsid w:val="00617326"/>
    <w:rsid w:val="00617400"/>
    <w:rsid w:val="00620273"/>
    <w:rsid w:val="006228B0"/>
    <w:rsid w:val="00622EB7"/>
    <w:rsid w:val="00623217"/>
    <w:rsid w:val="0062552C"/>
    <w:rsid w:val="0062788F"/>
    <w:rsid w:val="00627FF0"/>
    <w:rsid w:val="00632D29"/>
    <w:rsid w:val="00632D5E"/>
    <w:rsid w:val="00632FE6"/>
    <w:rsid w:val="00633601"/>
    <w:rsid w:val="006338C4"/>
    <w:rsid w:val="0063431B"/>
    <w:rsid w:val="00634354"/>
    <w:rsid w:val="006347F1"/>
    <w:rsid w:val="006359D1"/>
    <w:rsid w:val="006361EB"/>
    <w:rsid w:val="00640551"/>
    <w:rsid w:val="006409C7"/>
    <w:rsid w:val="00641C4D"/>
    <w:rsid w:val="00641F61"/>
    <w:rsid w:val="00642D6F"/>
    <w:rsid w:val="00643AB1"/>
    <w:rsid w:val="006457D5"/>
    <w:rsid w:val="006517BC"/>
    <w:rsid w:val="00652785"/>
    <w:rsid w:val="006543DB"/>
    <w:rsid w:val="00654A4D"/>
    <w:rsid w:val="0065531A"/>
    <w:rsid w:val="006573E5"/>
    <w:rsid w:val="006576B6"/>
    <w:rsid w:val="0065790B"/>
    <w:rsid w:val="00657F55"/>
    <w:rsid w:val="0066265F"/>
    <w:rsid w:val="0066395A"/>
    <w:rsid w:val="00664950"/>
    <w:rsid w:val="00664DD3"/>
    <w:rsid w:val="006668D8"/>
    <w:rsid w:val="00666F8E"/>
    <w:rsid w:val="00667507"/>
    <w:rsid w:val="00667C4E"/>
    <w:rsid w:val="00670DEB"/>
    <w:rsid w:val="00670EA1"/>
    <w:rsid w:val="006731E9"/>
    <w:rsid w:val="006742F6"/>
    <w:rsid w:val="00675FD2"/>
    <w:rsid w:val="00681592"/>
    <w:rsid w:val="0068316A"/>
    <w:rsid w:val="00683220"/>
    <w:rsid w:val="00684380"/>
    <w:rsid w:val="0068440A"/>
    <w:rsid w:val="0068458D"/>
    <w:rsid w:val="006845C4"/>
    <w:rsid w:val="00686835"/>
    <w:rsid w:val="00686FD9"/>
    <w:rsid w:val="00687FA0"/>
    <w:rsid w:val="006907BC"/>
    <w:rsid w:val="00690812"/>
    <w:rsid w:val="006916DA"/>
    <w:rsid w:val="00692D09"/>
    <w:rsid w:val="00692E62"/>
    <w:rsid w:val="00693F35"/>
    <w:rsid w:val="00693FC9"/>
    <w:rsid w:val="00695DE2"/>
    <w:rsid w:val="006960BE"/>
    <w:rsid w:val="00696BDB"/>
    <w:rsid w:val="00697306"/>
    <w:rsid w:val="006A126E"/>
    <w:rsid w:val="006A2B90"/>
    <w:rsid w:val="006A38E1"/>
    <w:rsid w:val="006A3C11"/>
    <w:rsid w:val="006A507F"/>
    <w:rsid w:val="006A7A38"/>
    <w:rsid w:val="006B2B2E"/>
    <w:rsid w:val="006B7010"/>
    <w:rsid w:val="006C27A7"/>
    <w:rsid w:val="006C3095"/>
    <w:rsid w:val="006C319D"/>
    <w:rsid w:val="006C447B"/>
    <w:rsid w:val="006C4AEC"/>
    <w:rsid w:val="006C6E30"/>
    <w:rsid w:val="006C7C9A"/>
    <w:rsid w:val="006D054C"/>
    <w:rsid w:val="006D07D2"/>
    <w:rsid w:val="006D3814"/>
    <w:rsid w:val="006D3FD7"/>
    <w:rsid w:val="006D5353"/>
    <w:rsid w:val="006D56BB"/>
    <w:rsid w:val="006D59A5"/>
    <w:rsid w:val="006D5C18"/>
    <w:rsid w:val="006D6E1B"/>
    <w:rsid w:val="006D7C58"/>
    <w:rsid w:val="006E04D9"/>
    <w:rsid w:val="006E1151"/>
    <w:rsid w:val="006E32B8"/>
    <w:rsid w:val="006E35B6"/>
    <w:rsid w:val="006E541B"/>
    <w:rsid w:val="006E6311"/>
    <w:rsid w:val="006F04B4"/>
    <w:rsid w:val="006F0E01"/>
    <w:rsid w:val="006F2EDB"/>
    <w:rsid w:val="006F420B"/>
    <w:rsid w:val="006F4639"/>
    <w:rsid w:val="006F4C7F"/>
    <w:rsid w:val="006F4CCC"/>
    <w:rsid w:val="006F6461"/>
    <w:rsid w:val="006F6C4B"/>
    <w:rsid w:val="007012CE"/>
    <w:rsid w:val="00705FE3"/>
    <w:rsid w:val="00706500"/>
    <w:rsid w:val="007066A1"/>
    <w:rsid w:val="0070753E"/>
    <w:rsid w:val="0071076F"/>
    <w:rsid w:val="007114CA"/>
    <w:rsid w:val="007145FF"/>
    <w:rsid w:val="0071489E"/>
    <w:rsid w:val="00715B2A"/>
    <w:rsid w:val="00717FB0"/>
    <w:rsid w:val="00720C48"/>
    <w:rsid w:val="00721B00"/>
    <w:rsid w:val="00722CBF"/>
    <w:rsid w:val="007255D7"/>
    <w:rsid w:val="00726ACD"/>
    <w:rsid w:val="00730623"/>
    <w:rsid w:val="007307B4"/>
    <w:rsid w:val="007308D6"/>
    <w:rsid w:val="007316CC"/>
    <w:rsid w:val="0073361B"/>
    <w:rsid w:val="00734551"/>
    <w:rsid w:val="00735651"/>
    <w:rsid w:val="00735EE4"/>
    <w:rsid w:val="00735F16"/>
    <w:rsid w:val="00737F5F"/>
    <w:rsid w:val="007411A4"/>
    <w:rsid w:val="00744D8B"/>
    <w:rsid w:val="007450F1"/>
    <w:rsid w:val="007477D1"/>
    <w:rsid w:val="00750D17"/>
    <w:rsid w:val="00751515"/>
    <w:rsid w:val="007557A2"/>
    <w:rsid w:val="00761C56"/>
    <w:rsid w:val="007622C6"/>
    <w:rsid w:val="007626B7"/>
    <w:rsid w:val="0076656E"/>
    <w:rsid w:val="00766BA0"/>
    <w:rsid w:val="00771514"/>
    <w:rsid w:val="0077171D"/>
    <w:rsid w:val="00771E4B"/>
    <w:rsid w:val="007742DA"/>
    <w:rsid w:val="00774711"/>
    <w:rsid w:val="00774841"/>
    <w:rsid w:val="0077624A"/>
    <w:rsid w:val="00776887"/>
    <w:rsid w:val="00776E66"/>
    <w:rsid w:val="00776F3D"/>
    <w:rsid w:val="00777FA2"/>
    <w:rsid w:val="00781B8B"/>
    <w:rsid w:val="0078212B"/>
    <w:rsid w:val="0078389C"/>
    <w:rsid w:val="00784DF6"/>
    <w:rsid w:val="00785232"/>
    <w:rsid w:val="00785582"/>
    <w:rsid w:val="0078594B"/>
    <w:rsid w:val="007875C1"/>
    <w:rsid w:val="00787A6C"/>
    <w:rsid w:val="00795DE3"/>
    <w:rsid w:val="00796FA2"/>
    <w:rsid w:val="0079730E"/>
    <w:rsid w:val="007A16D2"/>
    <w:rsid w:val="007A43C5"/>
    <w:rsid w:val="007A6744"/>
    <w:rsid w:val="007A73A6"/>
    <w:rsid w:val="007A762F"/>
    <w:rsid w:val="007B16E5"/>
    <w:rsid w:val="007B186C"/>
    <w:rsid w:val="007B4319"/>
    <w:rsid w:val="007B4A21"/>
    <w:rsid w:val="007B746B"/>
    <w:rsid w:val="007B7C0E"/>
    <w:rsid w:val="007C07EC"/>
    <w:rsid w:val="007C132F"/>
    <w:rsid w:val="007C1696"/>
    <w:rsid w:val="007C1A96"/>
    <w:rsid w:val="007C1D91"/>
    <w:rsid w:val="007C27BB"/>
    <w:rsid w:val="007C2EB9"/>
    <w:rsid w:val="007C34DA"/>
    <w:rsid w:val="007C36D3"/>
    <w:rsid w:val="007C3D17"/>
    <w:rsid w:val="007C3ED0"/>
    <w:rsid w:val="007C4E51"/>
    <w:rsid w:val="007C5888"/>
    <w:rsid w:val="007C5971"/>
    <w:rsid w:val="007C7E29"/>
    <w:rsid w:val="007D26CF"/>
    <w:rsid w:val="007D5BE7"/>
    <w:rsid w:val="007D75EC"/>
    <w:rsid w:val="007E156F"/>
    <w:rsid w:val="007E184B"/>
    <w:rsid w:val="007E2B04"/>
    <w:rsid w:val="007E3753"/>
    <w:rsid w:val="007E3C3C"/>
    <w:rsid w:val="007E3D13"/>
    <w:rsid w:val="007E66C7"/>
    <w:rsid w:val="007F16FD"/>
    <w:rsid w:val="007F208A"/>
    <w:rsid w:val="007F54B9"/>
    <w:rsid w:val="007F56DE"/>
    <w:rsid w:val="007F6D8C"/>
    <w:rsid w:val="007F73FC"/>
    <w:rsid w:val="0080027B"/>
    <w:rsid w:val="00801ED7"/>
    <w:rsid w:val="00802DEB"/>
    <w:rsid w:val="00806A76"/>
    <w:rsid w:val="0081143B"/>
    <w:rsid w:val="00811C9D"/>
    <w:rsid w:val="00813F7D"/>
    <w:rsid w:val="00814B96"/>
    <w:rsid w:val="00814E5B"/>
    <w:rsid w:val="008154E5"/>
    <w:rsid w:val="00816750"/>
    <w:rsid w:val="00816C80"/>
    <w:rsid w:val="00821757"/>
    <w:rsid w:val="0082380F"/>
    <w:rsid w:val="008260A8"/>
    <w:rsid w:val="008261D6"/>
    <w:rsid w:val="00826DA7"/>
    <w:rsid w:val="00831EFA"/>
    <w:rsid w:val="00835187"/>
    <w:rsid w:val="00835B71"/>
    <w:rsid w:val="008366F6"/>
    <w:rsid w:val="00841BCD"/>
    <w:rsid w:val="00846B72"/>
    <w:rsid w:val="008503BC"/>
    <w:rsid w:val="00851A8E"/>
    <w:rsid w:val="00851F13"/>
    <w:rsid w:val="00853296"/>
    <w:rsid w:val="0085365B"/>
    <w:rsid w:val="008544FE"/>
    <w:rsid w:val="00855438"/>
    <w:rsid w:val="00856A96"/>
    <w:rsid w:val="00856EC9"/>
    <w:rsid w:val="008603FD"/>
    <w:rsid w:val="00860791"/>
    <w:rsid w:val="0086153B"/>
    <w:rsid w:val="00861F43"/>
    <w:rsid w:val="00862F84"/>
    <w:rsid w:val="0086340C"/>
    <w:rsid w:val="00865F84"/>
    <w:rsid w:val="00866F4E"/>
    <w:rsid w:val="00867372"/>
    <w:rsid w:val="00867590"/>
    <w:rsid w:val="00872831"/>
    <w:rsid w:val="008729E2"/>
    <w:rsid w:val="008744BE"/>
    <w:rsid w:val="00874CE4"/>
    <w:rsid w:val="00874E67"/>
    <w:rsid w:val="00874F9E"/>
    <w:rsid w:val="0087629E"/>
    <w:rsid w:val="0088000C"/>
    <w:rsid w:val="00880F5E"/>
    <w:rsid w:val="008826C1"/>
    <w:rsid w:val="008826E7"/>
    <w:rsid w:val="00883DFD"/>
    <w:rsid w:val="008841A6"/>
    <w:rsid w:val="00884C80"/>
    <w:rsid w:val="00885100"/>
    <w:rsid w:val="00885CCA"/>
    <w:rsid w:val="00887D6B"/>
    <w:rsid w:val="0089138D"/>
    <w:rsid w:val="00891F4C"/>
    <w:rsid w:val="0089335A"/>
    <w:rsid w:val="008953D1"/>
    <w:rsid w:val="00896E5C"/>
    <w:rsid w:val="008A1BF7"/>
    <w:rsid w:val="008A27DE"/>
    <w:rsid w:val="008A3135"/>
    <w:rsid w:val="008A42B7"/>
    <w:rsid w:val="008A562D"/>
    <w:rsid w:val="008A5B0E"/>
    <w:rsid w:val="008A71B4"/>
    <w:rsid w:val="008B0961"/>
    <w:rsid w:val="008B0C90"/>
    <w:rsid w:val="008B5055"/>
    <w:rsid w:val="008B6866"/>
    <w:rsid w:val="008C0E1B"/>
    <w:rsid w:val="008C2DF0"/>
    <w:rsid w:val="008C45A0"/>
    <w:rsid w:val="008C4BA4"/>
    <w:rsid w:val="008C51DD"/>
    <w:rsid w:val="008C6406"/>
    <w:rsid w:val="008D251E"/>
    <w:rsid w:val="008D3BCB"/>
    <w:rsid w:val="008D58F4"/>
    <w:rsid w:val="008E099C"/>
    <w:rsid w:val="008E3A00"/>
    <w:rsid w:val="008E43BB"/>
    <w:rsid w:val="008F322A"/>
    <w:rsid w:val="008F6B84"/>
    <w:rsid w:val="008F6DAA"/>
    <w:rsid w:val="009001CC"/>
    <w:rsid w:val="00900895"/>
    <w:rsid w:val="0090091A"/>
    <w:rsid w:val="00902369"/>
    <w:rsid w:val="009042BD"/>
    <w:rsid w:val="0091469E"/>
    <w:rsid w:val="009169C9"/>
    <w:rsid w:val="00921A74"/>
    <w:rsid w:val="00924569"/>
    <w:rsid w:val="00925F51"/>
    <w:rsid w:val="00925F83"/>
    <w:rsid w:val="00930D6F"/>
    <w:rsid w:val="009313ED"/>
    <w:rsid w:val="00932C80"/>
    <w:rsid w:val="009344A4"/>
    <w:rsid w:val="0093564D"/>
    <w:rsid w:val="00936051"/>
    <w:rsid w:val="00936159"/>
    <w:rsid w:val="00936ECF"/>
    <w:rsid w:val="009373CC"/>
    <w:rsid w:val="009408DC"/>
    <w:rsid w:val="00940B6E"/>
    <w:rsid w:val="00941EA8"/>
    <w:rsid w:val="00942D01"/>
    <w:rsid w:val="009436D3"/>
    <w:rsid w:val="00943C49"/>
    <w:rsid w:val="00945182"/>
    <w:rsid w:val="00946861"/>
    <w:rsid w:val="009507E9"/>
    <w:rsid w:val="00952407"/>
    <w:rsid w:val="009528C3"/>
    <w:rsid w:val="00953DE8"/>
    <w:rsid w:val="009574F0"/>
    <w:rsid w:val="00960996"/>
    <w:rsid w:val="0096643F"/>
    <w:rsid w:val="00966799"/>
    <w:rsid w:val="00966DEA"/>
    <w:rsid w:val="00970324"/>
    <w:rsid w:val="00970B9A"/>
    <w:rsid w:val="00972E7C"/>
    <w:rsid w:val="00974131"/>
    <w:rsid w:val="009745EC"/>
    <w:rsid w:val="00977223"/>
    <w:rsid w:val="00977E1D"/>
    <w:rsid w:val="00977E69"/>
    <w:rsid w:val="0098538C"/>
    <w:rsid w:val="00987477"/>
    <w:rsid w:val="0099112C"/>
    <w:rsid w:val="00991A89"/>
    <w:rsid w:val="00992F00"/>
    <w:rsid w:val="009943FF"/>
    <w:rsid w:val="00995F4D"/>
    <w:rsid w:val="009962AD"/>
    <w:rsid w:val="009972EF"/>
    <w:rsid w:val="009974B5"/>
    <w:rsid w:val="009A0119"/>
    <w:rsid w:val="009A1AF0"/>
    <w:rsid w:val="009A2155"/>
    <w:rsid w:val="009A2CCF"/>
    <w:rsid w:val="009A5496"/>
    <w:rsid w:val="009A794E"/>
    <w:rsid w:val="009B0573"/>
    <w:rsid w:val="009B0BAA"/>
    <w:rsid w:val="009B27DB"/>
    <w:rsid w:val="009B3245"/>
    <w:rsid w:val="009B4377"/>
    <w:rsid w:val="009B6184"/>
    <w:rsid w:val="009B61A1"/>
    <w:rsid w:val="009B7B4B"/>
    <w:rsid w:val="009B7C21"/>
    <w:rsid w:val="009C226C"/>
    <w:rsid w:val="009C6239"/>
    <w:rsid w:val="009C74FF"/>
    <w:rsid w:val="009D1E68"/>
    <w:rsid w:val="009D2FA5"/>
    <w:rsid w:val="009D3D7F"/>
    <w:rsid w:val="009D5834"/>
    <w:rsid w:val="009D5C2C"/>
    <w:rsid w:val="009D6A01"/>
    <w:rsid w:val="009D7BEE"/>
    <w:rsid w:val="009E04C0"/>
    <w:rsid w:val="009E06F6"/>
    <w:rsid w:val="009E2481"/>
    <w:rsid w:val="009E2E0C"/>
    <w:rsid w:val="009E3CC3"/>
    <w:rsid w:val="009E4488"/>
    <w:rsid w:val="009E48A8"/>
    <w:rsid w:val="009E5705"/>
    <w:rsid w:val="009F003C"/>
    <w:rsid w:val="009F0D30"/>
    <w:rsid w:val="009F14FF"/>
    <w:rsid w:val="009F20B3"/>
    <w:rsid w:val="009F5E97"/>
    <w:rsid w:val="009F7315"/>
    <w:rsid w:val="009F7EEB"/>
    <w:rsid w:val="009F7EF8"/>
    <w:rsid w:val="00A01D08"/>
    <w:rsid w:val="00A03A9C"/>
    <w:rsid w:val="00A04992"/>
    <w:rsid w:val="00A055F6"/>
    <w:rsid w:val="00A10672"/>
    <w:rsid w:val="00A10AF7"/>
    <w:rsid w:val="00A10D95"/>
    <w:rsid w:val="00A147AA"/>
    <w:rsid w:val="00A14CA9"/>
    <w:rsid w:val="00A15290"/>
    <w:rsid w:val="00A16B2F"/>
    <w:rsid w:val="00A16D50"/>
    <w:rsid w:val="00A16F76"/>
    <w:rsid w:val="00A21D71"/>
    <w:rsid w:val="00A22B78"/>
    <w:rsid w:val="00A22C86"/>
    <w:rsid w:val="00A22E3C"/>
    <w:rsid w:val="00A23133"/>
    <w:rsid w:val="00A25AE5"/>
    <w:rsid w:val="00A27035"/>
    <w:rsid w:val="00A272E6"/>
    <w:rsid w:val="00A27E4F"/>
    <w:rsid w:val="00A30F26"/>
    <w:rsid w:val="00A32D4C"/>
    <w:rsid w:val="00A34037"/>
    <w:rsid w:val="00A37002"/>
    <w:rsid w:val="00A37332"/>
    <w:rsid w:val="00A40900"/>
    <w:rsid w:val="00A41310"/>
    <w:rsid w:val="00A4182B"/>
    <w:rsid w:val="00A422BC"/>
    <w:rsid w:val="00A423B8"/>
    <w:rsid w:val="00A4355E"/>
    <w:rsid w:val="00A439AF"/>
    <w:rsid w:val="00A43F29"/>
    <w:rsid w:val="00A43F90"/>
    <w:rsid w:val="00A449A6"/>
    <w:rsid w:val="00A45029"/>
    <w:rsid w:val="00A50790"/>
    <w:rsid w:val="00A51497"/>
    <w:rsid w:val="00A52559"/>
    <w:rsid w:val="00A52ADE"/>
    <w:rsid w:val="00A52E91"/>
    <w:rsid w:val="00A5456F"/>
    <w:rsid w:val="00A56A58"/>
    <w:rsid w:val="00A61FB2"/>
    <w:rsid w:val="00A6392B"/>
    <w:rsid w:val="00A64430"/>
    <w:rsid w:val="00A6516E"/>
    <w:rsid w:val="00A67EFA"/>
    <w:rsid w:val="00A708E8"/>
    <w:rsid w:val="00A712F0"/>
    <w:rsid w:val="00A71BDA"/>
    <w:rsid w:val="00A722EE"/>
    <w:rsid w:val="00A73FC7"/>
    <w:rsid w:val="00A748D5"/>
    <w:rsid w:val="00A74CC2"/>
    <w:rsid w:val="00A808A7"/>
    <w:rsid w:val="00A827FC"/>
    <w:rsid w:val="00A82AFD"/>
    <w:rsid w:val="00A83223"/>
    <w:rsid w:val="00A834EC"/>
    <w:rsid w:val="00A836A5"/>
    <w:rsid w:val="00A851CC"/>
    <w:rsid w:val="00A854EE"/>
    <w:rsid w:val="00A86756"/>
    <w:rsid w:val="00A90CF6"/>
    <w:rsid w:val="00A92BCD"/>
    <w:rsid w:val="00A94BFB"/>
    <w:rsid w:val="00A95DB8"/>
    <w:rsid w:val="00A96BBA"/>
    <w:rsid w:val="00A97391"/>
    <w:rsid w:val="00AA10F2"/>
    <w:rsid w:val="00AA17DC"/>
    <w:rsid w:val="00AA1B0E"/>
    <w:rsid w:val="00AA29A5"/>
    <w:rsid w:val="00AA31FF"/>
    <w:rsid w:val="00AA335F"/>
    <w:rsid w:val="00AA3F67"/>
    <w:rsid w:val="00AA40FF"/>
    <w:rsid w:val="00AA47B6"/>
    <w:rsid w:val="00AA6A59"/>
    <w:rsid w:val="00AA7402"/>
    <w:rsid w:val="00AA7414"/>
    <w:rsid w:val="00AA76BA"/>
    <w:rsid w:val="00AB0733"/>
    <w:rsid w:val="00AB15BD"/>
    <w:rsid w:val="00AB3BDB"/>
    <w:rsid w:val="00AB40FC"/>
    <w:rsid w:val="00AB4804"/>
    <w:rsid w:val="00AC0034"/>
    <w:rsid w:val="00AC163B"/>
    <w:rsid w:val="00AC293D"/>
    <w:rsid w:val="00AC2E25"/>
    <w:rsid w:val="00AC3E2D"/>
    <w:rsid w:val="00AC4540"/>
    <w:rsid w:val="00AC5CA7"/>
    <w:rsid w:val="00AC5E80"/>
    <w:rsid w:val="00AC6058"/>
    <w:rsid w:val="00AC64F2"/>
    <w:rsid w:val="00AC6BF0"/>
    <w:rsid w:val="00AC70E0"/>
    <w:rsid w:val="00AC73FA"/>
    <w:rsid w:val="00AC766A"/>
    <w:rsid w:val="00AD4E4A"/>
    <w:rsid w:val="00AD4FD7"/>
    <w:rsid w:val="00AD634F"/>
    <w:rsid w:val="00AE0781"/>
    <w:rsid w:val="00AE0F7E"/>
    <w:rsid w:val="00AE2AAA"/>
    <w:rsid w:val="00AE2BA5"/>
    <w:rsid w:val="00AE56B1"/>
    <w:rsid w:val="00AE6D09"/>
    <w:rsid w:val="00AE79E5"/>
    <w:rsid w:val="00AF00C2"/>
    <w:rsid w:val="00AF2919"/>
    <w:rsid w:val="00AF292B"/>
    <w:rsid w:val="00AF2BCA"/>
    <w:rsid w:val="00AF6938"/>
    <w:rsid w:val="00AF7031"/>
    <w:rsid w:val="00AF748A"/>
    <w:rsid w:val="00AF755E"/>
    <w:rsid w:val="00AF7A7C"/>
    <w:rsid w:val="00B006E3"/>
    <w:rsid w:val="00B01133"/>
    <w:rsid w:val="00B01AC0"/>
    <w:rsid w:val="00B02845"/>
    <w:rsid w:val="00B03F57"/>
    <w:rsid w:val="00B04D70"/>
    <w:rsid w:val="00B0549B"/>
    <w:rsid w:val="00B05E9E"/>
    <w:rsid w:val="00B12329"/>
    <w:rsid w:val="00B127C7"/>
    <w:rsid w:val="00B13CD6"/>
    <w:rsid w:val="00B17FA3"/>
    <w:rsid w:val="00B20888"/>
    <w:rsid w:val="00B22DEF"/>
    <w:rsid w:val="00B24CD6"/>
    <w:rsid w:val="00B27C2C"/>
    <w:rsid w:val="00B3093B"/>
    <w:rsid w:val="00B312FB"/>
    <w:rsid w:val="00B33243"/>
    <w:rsid w:val="00B33575"/>
    <w:rsid w:val="00B338D7"/>
    <w:rsid w:val="00B33E03"/>
    <w:rsid w:val="00B35015"/>
    <w:rsid w:val="00B40365"/>
    <w:rsid w:val="00B408B6"/>
    <w:rsid w:val="00B424CA"/>
    <w:rsid w:val="00B43571"/>
    <w:rsid w:val="00B43F43"/>
    <w:rsid w:val="00B44325"/>
    <w:rsid w:val="00B44371"/>
    <w:rsid w:val="00B45698"/>
    <w:rsid w:val="00B46206"/>
    <w:rsid w:val="00B50C51"/>
    <w:rsid w:val="00B50DC0"/>
    <w:rsid w:val="00B527B8"/>
    <w:rsid w:val="00B52C99"/>
    <w:rsid w:val="00B52E8A"/>
    <w:rsid w:val="00B5308D"/>
    <w:rsid w:val="00B53DB6"/>
    <w:rsid w:val="00B542DA"/>
    <w:rsid w:val="00B54F61"/>
    <w:rsid w:val="00B5672F"/>
    <w:rsid w:val="00B56AE7"/>
    <w:rsid w:val="00B56E3A"/>
    <w:rsid w:val="00B57C5A"/>
    <w:rsid w:val="00B62093"/>
    <w:rsid w:val="00B63602"/>
    <w:rsid w:val="00B65CAB"/>
    <w:rsid w:val="00B677B2"/>
    <w:rsid w:val="00B67FC1"/>
    <w:rsid w:val="00B735CC"/>
    <w:rsid w:val="00B7363D"/>
    <w:rsid w:val="00B73862"/>
    <w:rsid w:val="00B739CC"/>
    <w:rsid w:val="00B73F43"/>
    <w:rsid w:val="00B76A3D"/>
    <w:rsid w:val="00B7736C"/>
    <w:rsid w:val="00B79BA2"/>
    <w:rsid w:val="00B81498"/>
    <w:rsid w:val="00B817A8"/>
    <w:rsid w:val="00B82468"/>
    <w:rsid w:val="00B83841"/>
    <w:rsid w:val="00B8398E"/>
    <w:rsid w:val="00B84114"/>
    <w:rsid w:val="00B8507D"/>
    <w:rsid w:val="00B90549"/>
    <w:rsid w:val="00B9107F"/>
    <w:rsid w:val="00B915DB"/>
    <w:rsid w:val="00B921B6"/>
    <w:rsid w:val="00B926C3"/>
    <w:rsid w:val="00B92F72"/>
    <w:rsid w:val="00B943B2"/>
    <w:rsid w:val="00B946D7"/>
    <w:rsid w:val="00B95A0B"/>
    <w:rsid w:val="00B97D39"/>
    <w:rsid w:val="00BA0828"/>
    <w:rsid w:val="00BA0BE2"/>
    <w:rsid w:val="00BA45BD"/>
    <w:rsid w:val="00BA4F59"/>
    <w:rsid w:val="00BA61AC"/>
    <w:rsid w:val="00BA6629"/>
    <w:rsid w:val="00BA6B66"/>
    <w:rsid w:val="00BA6E48"/>
    <w:rsid w:val="00BA7589"/>
    <w:rsid w:val="00BB0427"/>
    <w:rsid w:val="00BB361A"/>
    <w:rsid w:val="00BB5951"/>
    <w:rsid w:val="00BB734B"/>
    <w:rsid w:val="00BC484A"/>
    <w:rsid w:val="00BC5CA6"/>
    <w:rsid w:val="00BC5EDD"/>
    <w:rsid w:val="00BC7FEE"/>
    <w:rsid w:val="00BD00B4"/>
    <w:rsid w:val="00BD138A"/>
    <w:rsid w:val="00BD41F7"/>
    <w:rsid w:val="00BD656C"/>
    <w:rsid w:val="00BD6D06"/>
    <w:rsid w:val="00BD7166"/>
    <w:rsid w:val="00BD71EC"/>
    <w:rsid w:val="00BE09CE"/>
    <w:rsid w:val="00BE0AC5"/>
    <w:rsid w:val="00BE0AF6"/>
    <w:rsid w:val="00BE1F03"/>
    <w:rsid w:val="00BE2316"/>
    <w:rsid w:val="00BE58A7"/>
    <w:rsid w:val="00BE684F"/>
    <w:rsid w:val="00BE7300"/>
    <w:rsid w:val="00BF0B79"/>
    <w:rsid w:val="00BF2218"/>
    <w:rsid w:val="00BF36E6"/>
    <w:rsid w:val="00BF431A"/>
    <w:rsid w:val="00C00302"/>
    <w:rsid w:val="00C02F87"/>
    <w:rsid w:val="00C0426B"/>
    <w:rsid w:val="00C045DF"/>
    <w:rsid w:val="00C04B86"/>
    <w:rsid w:val="00C04FC6"/>
    <w:rsid w:val="00C06AB3"/>
    <w:rsid w:val="00C07147"/>
    <w:rsid w:val="00C101F0"/>
    <w:rsid w:val="00C1137E"/>
    <w:rsid w:val="00C120CF"/>
    <w:rsid w:val="00C12123"/>
    <w:rsid w:val="00C122EF"/>
    <w:rsid w:val="00C13111"/>
    <w:rsid w:val="00C13CF3"/>
    <w:rsid w:val="00C146A4"/>
    <w:rsid w:val="00C14910"/>
    <w:rsid w:val="00C21B88"/>
    <w:rsid w:val="00C21EE3"/>
    <w:rsid w:val="00C21F87"/>
    <w:rsid w:val="00C26177"/>
    <w:rsid w:val="00C26547"/>
    <w:rsid w:val="00C26D43"/>
    <w:rsid w:val="00C36B66"/>
    <w:rsid w:val="00C36DE8"/>
    <w:rsid w:val="00C40B25"/>
    <w:rsid w:val="00C40DFA"/>
    <w:rsid w:val="00C4300B"/>
    <w:rsid w:val="00C43319"/>
    <w:rsid w:val="00C45DB1"/>
    <w:rsid w:val="00C46548"/>
    <w:rsid w:val="00C51BE5"/>
    <w:rsid w:val="00C52CDD"/>
    <w:rsid w:val="00C52EFB"/>
    <w:rsid w:val="00C53181"/>
    <w:rsid w:val="00C55B44"/>
    <w:rsid w:val="00C56E68"/>
    <w:rsid w:val="00C574D5"/>
    <w:rsid w:val="00C61A9E"/>
    <w:rsid w:val="00C63981"/>
    <w:rsid w:val="00C64002"/>
    <w:rsid w:val="00C6666E"/>
    <w:rsid w:val="00C66F01"/>
    <w:rsid w:val="00C673AE"/>
    <w:rsid w:val="00C67BC3"/>
    <w:rsid w:val="00C70191"/>
    <w:rsid w:val="00C71378"/>
    <w:rsid w:val="00C73F32"/>
    <w:rsid w:val="00C74207"/>
    <w:rsid w:val="00C74B68"/>
    <w:rsid w:val="00C80968"/>
    <w:rsid w:val="00C83B8E"/>
    <w:rsid w:val="00C86580"/>
    <w:rsid w:val="00C87462"/>
    <w:rsid w:val="00C92A9B"/>
    <w:rsid w:val="00C92DD9"/>
    <w:rsid w:val="00C965D7"/>
    <w:rsid w:val="00C966ED"/>
    <w:rsid w:val="00C9732B"/>
    <w:rsid w:val="00C97A4C"/>
    <w:rsid w:val="00CA180C"/>
    <w:rsid w:val="00CA3932"/>
    <w:rsid w:val="00CB0B3B"/>
    <w:rsid w:val="00CB22B2"/>
    <w:rsid w:val="00CC12EA"/>
    <w:rsid w:val="00CC13C4"/>
    <w:rsid w:val="00CC1A0B"/>
    <w:rsid w:val="00CC3468"/>
    <w:rsid w:val="00CC3EE2"/>
    <w:rsid w:val="00CD06E9"/>
    <w:rsid w:val="00CD1058"/>
    <w:rsid w:val="00CD23EE"/>
    <w:rsid w:val="00CD26EE"/>
    <w:rsid w:val="00CD2B18"/>
    <w:rsid w:val="00CD33A0"/>
    <w:rsid w:val="00CD3D1F"/>
    <w:rsid w:val="00CD55DD"/>
    <w:rsid w:val="00CD607C"/>
    <w:rsid w:val="00CD7492"/>
    <w:rsid w:val="00CD7BB9"/>
    <w:rsid w:val="00CE1BEB"/>
    <w:rsid w:val="00CE29D3"/>
    <w:rsid w:val="00CE3A6B"/>
    <w:rsid w:val="00CE4E6E"/>
    <w:rsid w:val="00CE50EE"/>
    <w:rsid w:val="00CE6F3E"/>
    <w:rsid w:val="00CF092C"/>
    <w:rsid w:val="00CF1009"/>
    <w:rsid w:val="00CF1165"/>
    <w:rsid w:val="00CF4798"/>
    <w:rsid w:val="00CF6329"/>
    <w:rsid w:val="00D00211"/>
    <w:rsid w:val="00D03BEB"/>
    <w:rsid w:val="00D03CA7"/>
    <w:rsid w:val="00D03D06"/>
    <w:rsid w:val="00D03F20"/>
    <w:rsid w:val="00D06309"/>
    <w:rsid w:val="00D06542"/>
    <w:rsid w:val="00D104F1"/>
    <w:rsid w:val="00D12C0C"/>
    <w:rsid w:val="00D12C44"/>
    <w:rsid w:val="00D14DFE"/>
    <w:rsid w:val="00D14F3D"/>
    <w:rsid w:val="00D16FD8"/>
    <w:rsid w:val="00D212E5"/>
    <w:rsid w:val="00D21A1C"/>
    <w:rsid w:val="00D26B46"/>
    <w:rsid w:val="00D27026"/>
    <w:rsid w:val="00D3351A"/>
    <w:rsid w:val="00D33872"/>
    <w:rsid w:val="00D340DA"/>
    <w:rsid w:val="00D351EA"/>
    <w:rsid w:val="00D356CB"/>
    <w:rsid w:val="00D35B74"/>
    <w:rsid w:val="00D37F5A"/>
    <w:rsid w:val="00D40288"/>
    <w:rsid w:val="00D42A70"/>
    <w:rsid w:val="00D43403"/>
    <w:rsid w:val="00D459BC"/>
    <w:rsid w:val="00D50463"/>
    <w:rsid w:val="00D520D9"/>
    <w:rsid w:val="00D5270B"/>
    <w:rsid w:val="00D52B7F"/>
    <w:rsid w:val="00D53E57"/>
    <w:rsid w:val="00D542D6"/>
    <w:rsid w:val="00D56245"/>
    <w:rsid w:val="00D6183B"/>
    <w:rsid w:val="00D61B9A"/>
    <w:rsid w:val="00D6295D"/>
    <w:rsid w:val="00D62E71"/>
    <w:rsid w:val="00D63DED"/>
    <w:rsid w:val="00D6430D"/>
    <w:rsid w:val="00D64996"/>
    <w:rsid w:val="00D64B54"/>
    <w:rsid w:val="00D64F81"/>
    <w:rsid w:val="00D65C31"/>
    <w:rsid w:val="00D66188"/>
    <w:rsid w:val="00D674B3"/>
    <w:rsid w:val="00D7150C"/>
    <w:rsid w:val="00D731F6"/>
    <w:rsid w:val="00D7339B"/>
    <w:rsid w:val="00D740CA"/>
    <w:rsid w:val="00D74130"/>
    <w:rsid w:val="00D74D23"/>
    <w:rsid w:val="00D7577F"/>
    <w:rsid w:val="00D7775E"/>
    <w:rsid w:val="00D77AD9"/>
    <w:rsid w:val="00D83E13"/>
    <w:rsid w:val="00D84607"/>
    <w:rsid w:val="00D84791"/>
    <w:rsid w:val="00D85581"/>
    <w:rsid w:val="00D85728"/>
    <w:rsid w:val="00D866D6"/>
    <w:rsid w:val="00D87C9C"/>
    <w:rsid w:val="00D90138"/>
    <w:rsid w:val="00D90FCB"/>
    <w:rsid w:val="00D9326C"/>
    <w:rsid w:val="00D942EE"/>
    <w:rsid w:val="00D94B25"/>
    <w:rsid w:val="00D94CB8"/>
    <w:rsid w:val="00D95481"/>
    <w:rsid w:val="00D9579A"/>
    <w:rsid w:val="00DA2FA1"/>
    <w:rsid w:val="00DA39EF"/>
    <w:rsid w:val="00DA3C73"/>
    <w:rsid w:val="00DA404F"/>
    <w:rsid w:val="00DA4A45"/>
    <w:rsid w:val="00DA549A"/>
    <w:rsid w:val="00DA6313"/>
    <w:rsid w:val="00DA7271"/>
    <w:rsid w:val="00DB1BC4"/>
    <w:rsid w:val="00DB326C"/>
    <w:rsid w:val="00DB3ED5"/>
    <w:rsid w:val="00DB4EA5"/>
    <w:rsid w:val="00DB53FE"/>
    <w:rsid w:val="00DB61C8"/>
    <w:rsid w:val="00DB77C7"/>
    <w:rsid w:val="00DC1554"/>
    <w:rsid w:val="00DC45ED"/>
    <w:rsid w:val="00DC7A13"/>
    <w:rsid w:val="00DD05C3"/>
    <w:rsid w:val="00DD167D"/>
    <w:rsid w:val="00DD2170"/>
    <w:rsid w:val="00DD3E7A"/>
    <w:rsid w:val="00DD4455"/>
    <w:rsid w:val="00DD702E"/>
    <w:rsid w:val="00DE30B5"/>
    <w:rsid w:val="00DE394F"/>
    <w:rsid w:val="00DE63F9"/>
    <w:rsid w:val="00DF172A"/>
    <w:rsid w:val="00DF2997"/>
    <w:rsid w:val="00DF2C5E"/>
    <w:rsid w:val="00DF2EF3"/>
    <w:rsid w:val="00DF3034"/>
    <w:rsid w:val="00DF3EEF"/>
    <w:rsid w:val="00DF5DD6"/>
    <w:rsid w:val="00DF651E"/>
    <w:rsid w:val="00DF700A"/>
    <w:rsid w:val="00E012BE"/>
    <w:rsid w:val="00E02059"/>
    <w:rsid w:val="00E024EB"/>
    <w:rsid w:val="00E033B6"/>
    <w:rsid w:val="00E041BE"/>
    <w:rsid w:val="00E0422B"/>
    <w:rsid w:val="00E066A5"/>
    <w:rsid w:val="00E067CE"/>
    <w:rsid w:val="00E069DA"/>
    <w:rsid w:val="00E0706C"/>
    <w:rsid w:val="00E072B5"/>
    <w:rsid w:val="00E07DD2"/>
    <w:rsid w:val="00E10BC4"/>
    <w:rsid w:val="00E11D40"/>
    <w:rsid w:val="00E1338A"/>
    <w:rsid w:val="00E13D83"/>
    <w:rsid w:val="00E1415D"/>
    <w:rsid w:val="00E14AF5"/>
    <w:rsid w:val="00E20484"/>
    <w:rsid w:val="00E22D4E"/>
    <w:rsid w:val="00E323E9"/>
    <w:rsid w:val="00E33A8C"/>
    <w:rsid w:val="00E34018"/>
    <w:rsid w:val="00E35C20"/>
    <w:rsid w:val="00E3632E"/>
    <w:rsid w:val="00E3683D"/>
    <w:rsid w:val="00E37896"/>
    <w:rsid w:val="00E4080C"/>
    <w:rsid w:val="00E41468"/>
    <w:rsid w:val="00E421B4"/>
    <w:rsid w:val="00E43203"/>
    <w:rsid w:val="00E437D2"/>
    <w:rsid w:val="00E44208"/>
    <w:rsid w:val="00E46F1F"/>
    <w:rsid w:val="00E5171D"/>
    <w:rsid w:val="00E52A13"/>
    <w:rsid w:val="00E52EA8"/>
    <w:rsid w:val="00E53BCD"/>
    <w:rsid w:val="00E55382"/>
    <w:rsid w:val="00E55383"/>
    <w:rsid w:val="00E55751"/>
    <w:rsid w:val="00E55C10"/>
    <w:rsid w:val="00E560C6"/>
    <w:rsid w:val="00E56761"/>
    <w:rsid w:val="00E57BEB"/>
    <w:rsid w:val="00E57F24"/>
    <w:rsid w:val="00E6472A"/>
    <w:rsid w:val="00E66C2A"/>
    <w:rsid w:val="00E701BC"/>
    <w:rsid w:val="00E70626"/>
    <w:rsid w:val="00E70CA2"/>
    <w:rsid w:val="00E72D99"/>
    <w:rsid w:val="00E741AD"/>
    <w:rsid w:val="00E74E31"/>
    <w:rsid w:val="00E75681"/>
    <w:rsid w:val="00E761FF"/>
    <w:rsid w:val="00E76813"/>
    <w:rsid w:val="00E76A77"/>
    <w:rsid w:val="00E809B6"/>
    <w:rsid w:val="00E80C90"/>
    <w:rsid w:val="00E826BF"/>
    <w:rsid w:val="00E82D04"/>
    <w:rsid w:val="00E82FC3"/>
    <w:rsid w:val="00E84697"/>
    <w:rsid w:val="00E85E33"/>
    <w:rsid w:val="00E8678D"/>
    <w:rsid w:val="00E92D72"/>
    <w:rsid w:val="00E95AFE"/>
    <w:rsid w:val="00EA1784"/>
    <w:rsid w:val="00EA2311"/>
    <w:rsid w:val="00EA3AF4"/>
    <w:rsid w:val="00EA6AFD"/>
    <w:rsid w:val="00EA7C1C"/>
    <w:rsid w:val="00EB1AEC"/>
    <w:rsid w:val="00EB2B25"/>
    <w:rsid w:val="00EB3511"/>
    <w:rsid w:val="00EB4305"/>
    <w:rsid w:val="00EB64D2"/>
    <w:rsid w:val="00EB73F7"/>
    <w:rsid w:val="00EB7679"/>
    <w:rsid w:val="00EC125A"/>
    <w:rsid w:val="00EC5482"/>
    <w:rsid w:val="00EC5521"/>
    <w:rsid w:val="00EC5AA6"/>
    <w:rsid w:val="00EC6527"/>
    <w:rsid w:val="00EC7BC3"/>
    <w:rsid w:val="00ED0340"/>
    <w:rsid w:val="00ED1669"/>
    <w:rsid w:val="00ED49EA"/>
    <w:rsid w:val="00ED605F"/>
    <w:rsid w:val="00ED7600"/>
    <w:rsid w:val="00EE3CC5"/>
    <w:rsid w:val="00EE44BD"/>
    <w:rsid w:val="00EE51CE"/>
    <w:rsid w:val="00EF1AD5"/>
    <w:rsid w:val="00EF3991"/>
    <w:rsid w:val="00EF48AF"/>
    <w:rsid w:val="00EF553E"/>
    <w:rsid w:val="00EF5671"/>
    <w:rsid w:val="00EF5C5F"/>
    <w:rsid w:val="00EF5E67"/>
    <w:rsid w:val="00EF6073"/>
    <w:rsid w:val="00EF64B1"/>
    <w:rsid w:val="00EF659A"/>
    <w:rsid w:val="00EF698B"/>
    <w:rsid w:val="00F009EA"/>
    <w:rsid w:val="00F01106"/>
    <w:rsid w:val="00F024FB"/>
    <w:rsid w:val="00F03CE6"/>
    <w:rsid w:val="00F065F3"/>
    <w:rsid w:val="00F12598"/>
    <w:rsid w:val="00F125FC"/>
    <w:rsid w:val="00F133A0"/>
    <w:rsid w:val="00F133E1"/>
    <w:rsid w:val="00F1362C"/>
    <w:rsid w:val="00F136C5"/>
    <w:rsid w:val="00F13737"/>
    <w:rsid w:val="00F14126"/>
    <w:rsid w:val="00F1472F"/>
    <w:rsid w:val="00F14959"/>
    <w:rsid w:val="00F150B7"/>
    <w:rsid w:val="00F15884"/>
    <w:rsid w:val="00F16171"/>
    <w:rsid w:val="00F17DFD"/>
    <w:rsid w:val="00F206DC"/>
    <w:rsid w:val="00F21CCF"/>
    <w:rsid w:val="00F21F43"/>
    <w:rsid w:val="00F22F76"/>
    <w:rsid w:val="00F23250"/>
    <w:rsid w:val="00F23E62"/>
    <w:rsid w:val="00F253AC"/>
    <w:rsid w:val="00F269DD"/>
    <w:rsid w:val="00F34EDF"/>
    <w:rsid w:val="00F35767"/>
    <w:rsid w:val="00F35838"/>
    <w:rsid w:val="00F36506"/>
    <w:rsid w:val="00F40637"/>
    <w:rsid w:val="00F414F1"/>
    <w:rsid w:val="00F41918"/>
    <w:rsid w:val="00F425B2"/>
    <w:rsid w:val="00F4799E"/>
    <w:rsid w:val="00F508B8"/>
    <w:rsid w:val="00F50E8C"/>
    <w:rsid w:val="00F55815"/>
    <w:rsid w:val="00F55A26"/>
    <w:rsid w:val="00F55A69"/>
    <w:rsid w:val="00F5610C"/>
    <w:rsid w:val="00F632D8"/>
    <w:rsid w:val="00F63C77"/>
    <w:rsid w:val="00F656FC"/>
    <w:rsid w:val="00F66044"/>
    <w:rsid w:val="00F71B8C"/>
    <w:rsid w:val="00F72CB1"/>
    <w:rsid w:val="00F72F57"/>
    <w:rsid w:val="00F73177"/>
    <w:rsid w:val="00F741C0"/>
    <w:rsid w:val="00F749E0"/>
    <w:rsid w:val="00F75627"/>
    <w:rsid w:val="00F75FE7"/>
    <w:rsid w:val="00F76675"/>
    <w:rsid w:val="00F77038"/>
    <w:rsid w:val="00F80ADB"/>
    <w:rsid w:val="00F8215E"/>
    <w:rsid w:val="00F82247"/>
    <w:rsid w:val="00F824F5"/>
    <w:rsid w:val="00F82B77"/>
    <w:rsid w:val="00F831F1"/>
    <w:rsid w:val="00F8783D"/>
    <w:rsid w:val="00F90500"/>
    <w:rsid w:val="00F90FAB"/>
    <w:rsid w:val="00F9112A"/>
    <w:rsid w:val="00F92045"/>
    <w:rsid w:val="00F92CEA"/>
    <w:rsid w:val="00F93614"/>
    <w:rsid w:val="00F9374D"/>
    <w:rsid w:val="00F9499F"/>
    <w:rsid w:val="00F949B8"/>
    <w:rsid w:val="00F95A2B"/>
    <w:rsid w:val="00F95CCD"/>
    <w:rsid w:val="00FA0C06"/>
    <w:rsid w:val="00FA31D5"/>
    <w:rsid w:val="00FA6509"/>
    <w:rsid w:val="00FA68A1"/>
    <w:rsid w:val="00FA7C2A"/>
    <w:rsid w:val="00FB0CD6"/>
    <w:rsid w:val="00FB0F41"/>
    <w:rsid w:val="00FB44C3"/>
    <w:rsid w:val="00FB493E"/>
    <w:rsid w:val="00FB6523"/>
    <w:rsid w:val="00FC0C36"/>
    <w:rsid w:val="00FC29B9"/>
    <w:rsid w:val="00FC6FD3"/>
    <w:rsid w:val="00FD1804"/>
    <w:rsid w:val="00FD6506"/>
    <w:rsid w:val="00FD6CB9"/>
    <w:rsid w:val="00FD7909"/>
    <w:rsid w:val="00FE0212"/>
    <w:rsid w:val="00FE0F23"/>
    <w:rsid w:val="00FE29B4"/>
    <w:rsid w:val="00FE2AA5"/>
    <w:rsid w:val="00FE305C"/>
    <w:rsid w:val="00FE3C83"/>
    <w:rsid w:val="00FE3F80"/>
    <w:rsid w:val="00FE415E"/>
    <w:rsid w:val="00FE6375"/>
    <w:rsid w:val="00FF0301"/>
    <w:rsid w:val="00FF0357"/>
    <w:rsid w:val="00FF087A"/>
    <w:rsid w:val="00FF18E4"/>
    <w:rsid w:val="00FF1A25"/>
    <w:rsid w:val="00FF341A"/>
    <w:rsid w:val="00FF3A32"/>
    <w:rsid w:val="00FF5406"/>
    <w:rsid w:val="07CB3E90"/>
    <w:rsid w:val="0B4C8377"/>
    <w:rsid w:val="0C5E0500"/>
    <w:rsid w:val="0C63D59D"/>
    <w:rsid w:val="0E73F02C"/>
    <w:rsid w:val="0F9BCD63"/>
    <w:rsid w:val="10456A38"/>
    <w:rsid w:val="12391D65"/>
    <w:rsid w:val="127E9D25"/>
    <w:rsid w:val="16B37CCC"/>
    <w:rsid w:val="17551478"/>
    <w:rsid w:val="188C131B"/>
    <w:rsid w:val="1EA5FDCC"/>
    <w:rsid w:val="2027DBF5"/>
    <w:rsid w:val="202A3E92"/>
    <w:rsid w:val="21CC67E7"/>
    <w:rsid w:val="24CE5453"/>
    <w:rsid w:val="24FFFB2B"/>
    <w:rsid w:val="259FCC70"/>
    <w:rsid w:val="25E88903"/>
    <w:rsid w:val="273909F2"/>
    <w:rsid w:val="27BAD803"/>
    <w:rsid w:val="2831CD08"/>
    <w:rsid w:val="2B568733"/>
    <w:rsid w:val="2D54444E"/>
    <w:rsid w:val="2F47FE3C"/>
    <w:rsid w:val="3021AB54"/>
    <w:rsid w:val="3529CF83"/>
    <w:rsid w:val="35D6EE17"/>
    <w:rsid w:val="377F76D7"/>
    <w:rsid w:val="381664CD"/>
    <w:rsid w:val="383A396A"/>
    <w:rsid w:val="3E823EE8"/>
    <w:rsid w:val="3F817D41"/>
    <w:rsid w:val="405458AD"/>
    <w:rsid w:val="41B827E9"/>
    <w:rsid w:val="4266DDFC"/>
    <w:rsid w:val="45785BF0"/>
    <w:rsid w:val="45C4ACB0"/>
    <w:rsid w:val="47082EE3"/>
    <w:rsid w:val="48C28FAF"/>
    <w:rsid w:val="4B357E35"/>
    <w:rsid w:val="4BB7643E"/>
    <w:rsid w:val="4EE2B676"/>
    <w:rsid w:val="4F43E35E"/>
    <w:rsid w:val="522B6039"/>
    <w:rsid w:val="534A68ED"/>
    <w:rsid w:val="5510C95F"/>
    <w:rsid w:val="5523672F"/>
    <w:rsid w:val="5573462E"/>
    <w:rsid w:val="559CB2DA"/>
    <w:rsid w:val="5701F25B"/>
    <w:rsid w:val="575834E8"/>
    <w:rsid w:val="57C8D63F"/>
    <w:rsid w:val="59030F1D"/>
    <w:rsid w:val="5B8C4F71"/>
    <w:rsid w:val="5DAFA8A0"/>
    <w:rsid w:val="5F242001"/>
    <w:rsid w:val="5FE6443F"/>
    <w:rsid w:val="604E2BFC"/>
    <w:rsid w:val="627A1EFE"/>
    <w:rsid w:val="6430CA1E"/>
    <w:rsid w:val="64A77D71"/>
    <w:rsid w:val="67CDBF32"/>
    <w:rsid w:val="67E21725"/>
    <w:rsid w:val="69BF5CB2"/>
    <w:rsid w:val="6A5A44EA"/>
    <w:rsid w:val="6FB1C296"/>
    <w:rsid w:val="71196829"/>
    <w:rsid w:val="7234CC7D"/>
    <w:rsid w:val="763BE984"/>
    <w:rsid w:val="78901A30"/>
    <w:rsid w:val="7C3ED761"/>
    <w:rsid w:val="7E7A51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26B21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781"/>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락,清單段落1,列出"/>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列出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301550"/>
    <w:pPr>
      <w:numPr>
        <w:numId w:val="48"/>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8C4BA4"/>
    <w:pPr>
      <w:ind w:left="36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AC73FA"/>
    <w:pPr>
      <w:shd w:val="clear" w:color="auto" w:fill="FFFFFF"/>
      <w:spacing w:before="240" w:after="240" w:line="240" w:lineRule="auto"/>
      <w:ind w:left="568"/>
      <w:outlineLvl w:val="2"/>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auhaus 93" w:hAnsi="Bauhaus 93"/>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4A1285"/>
    <w:pPr>
      <w:tabs>
        <w:tab w:val="right" w:leader="dot" w:pos="9617"/>
      </w:tabs>
      <w:spacing w:after="100"/>
    </w:pPr>
  </w:style>
  <w:style w:type="paragraph" w:styleId="TOC5">
    <w:name w:val="toc 5"/>
    <w:aliases w:val="Proposal"/>
    <w:basedOn w:val="Normal"/>
    <w:next w:val="Normal"/>
    <w:autoRedefine/>
    <w:uiPriority w:val="39"/>
    <w:unhideWhenUsed/>
    <w:rsid w:val="00050FB2"/>
    <w:pPr>
      <w:tabs>
        <w:tab w:val="left" w:pos="400"/>
        <w:tab w:val="right" w:leader="dot" w:pos="9617"/>
      </w:tabs>
      <w:spacing w:after="100"/>
    </w:pPr>
    <w:rPr>
      <w:b/>
    </w:rPr>
  </w:style>
  <w:style w:type="character" w:customStyle="1" w:styleId="normaltextrun">
    <w:name w:val="normaltextrun"/>
    <w:basedOn w:val="DefaultParagraphFont"/>
    <w:rsid w:val="00885CCA"/>
  </w:style>
  <w:style w:type="character" w:customStyle="1" w:styleId="eop">
    <w:name w:val="eop"/>
    <w:basedOn w:val="DefaultParagraphFont"/>
    <w:rsid w:val="00885CCA"/>
  </w:style>
  <w:style w:type="paragraph" w:customStyle="1" w:styleId="paragraph">
    <w:name w:val="paragraph"/>
    <w:basedOn w:val="Normal"/>
    <w:rsid w:val="00AC3E2D"/>
    <w:pPr>
      <w:spacing w:before="100" w:beforeAutospacing="1" w:after="100" w:afterAutospacing="1" w:line="240" w:lineRule="auto"/>
    </w:pPr>
    <w:rPr>
      <w:rFonts w:eastAsia="Times New Roman" w:cs="Times New Roman"/>
      <w:sz w:val="24"/>
      <w:szCs w:val="24"/>
    </w:rPr>
  </w:style>
  <w:style w:type="character" w:styleId="Mention">
    <w:name w:val="Mention"/>
    <w:basedOn w:val="DefaultParagraphFont"/>
    <w:uiPriority w:val="99"/>
    <w:unhideWhenUsed/>
    <w:rsid w:val="009D3D7F"/>
    <w:rPr>
      <w:color w:val="2B579A"/>
      <w:shd w:val="clear" w:color="auto" w:fill="E1DFDD"/>
    </w:rPr>
  </w:style>
  <w:style w:type="paragraph" w:styleId="Header">
    <w:name w:val="header"/>
    <w:basedOn w:val="Normal"/>
    <w:link w:val="HeaderChar"/>
    <w:uiPriority w:val="99"/>
    <w:unhideWhenUsed/>
    <w:rsid w:val="00EF39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3991"/>
    <w:rPr>
      <w:rFonts w:ascii="Times New Roman" w:hAnsi="Times New Roman"/>
      <w:sz w:val="20"/>
    </w:rPr>
  </w:style>
  <w:style w:type="paragraph" w:styleId="Footer">
    <w:name w:val="footer"/>
    <w:basedOn w:val="Normal"/>
    <w:link w:val="FooterChar"/>
    <w:uiPriority w:val="99"/>
    <w:unhideWhenUsed/>
    <w:rsid w:val="00EF39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3991"/>
    <w:rPr>
      <w:rFonts w:ascii="Times New Roman" w:hAnsi="Times New Roman"/>
      <w:sz w:val="20"/>
    </w:rPr>
  </w:style>
  <w:style w:type="character" w:customStyle="1" w:styleId="ui-provider">
    <w:name w:val="ui-provider"/>
    <w:basedOn w:val="DefaultParagraphFont"/>
    <w:rsid w:val="00BE2316"/>
  </w:style>
  <w:style w:type="paragraph" w:styleId="Revision">
    <w:name w:val="Revision"/>
    <w:hidden/>
    <w:uiPriority w:val="99"/>
    <w:semiHidden/>
    <w:rsid w:val="0051606C"/>
    <w:pPr>
      <w:spacing w:after="0" w:line="240" w:lineRule="auto"/>
    </w:pPr>
    <w:rPr>
      <w:rFonts w:ascii="Times New Roman" w:hAnsi="Times New Roman"/>
      <w:sz w:val="20"/>
    </w:rPr>
  </w:style>
  <w:style w:type="paragraph" w:styleId="NormalWeb">
    <w:name w:val="Normal (Web)"/>
    <w:basedOn w:val="Normal"/>
    <w:uiPriority w:val="99"/>
    <w:semiHidden/>
    <w:unhideWhenUsed/>
    <w:rsid w:val="00EC5482"/>
    <w:pPr>
      <w:spacing w:before="100" w:beforeAutospacing="1" w:after="100" w:afterAutospacing="1" w:line="240" w:lineRule="auto"/>
    </w:pPr>
    <w:rPr>
      <w:rFonts w:eastAsia="Times New Roman" w:cs="Times New Roman"/>
      <w:sz w:val="24"/>
      <w:szCs w:val="24"/>
    </w:rPr>
  </w:style>
  <w:style w:type="character" w:customStyle="1" w:styleId="tabchar">
    <w:name w:val="tabchar"/>
    <w:basedOn w:val="DefaultParagraphFont"/>
    <w:rsid w:val="002A5891"/>
  </w:style>
  <w:style w:type="paragraph" w:customStyle="1" w:styleId="CRCoverPage">
    <w:name w:val="CR Cover Page"/>
    <w:rsid w:val="0010792E"/>
    <w:pPr>
      <w:spacing w:after="120" w:line="240" w:lineRule="auto"/>
    </w:pPr>
    <w:rPr>
      <w:rFonts w:ascii="Arial" w:eastAsia="Times New Roman" w:hAnsi="Arial" w:cs="Times New Roman"/>
      <w:sz w:val="20"/>
      <w:szCs w:val="20"/>
      <w:lang w:val="en-GB"/>
    </w:rPr>
  </w:style>
  <w:style w:type="paragraph" w:customStyle="1" w:styleId="pf0">
    <w:name w:val="pf0"/>
    <w:basedOn w:val="Normal"/>
    <w:rsid w:val="00E3632E"/>
    <w:pPr>
      <w:spacing w:before="100" w:beforeAutospacing="1" w:after="100" w:afterAutospacing="1" w:line="240" w:lineRule="auto"/>
    </w:pPr>
    <w:rPr>
      <w:rFonts w:eastAsia="Times New Roman" w:cs="Times New Roman"/>
      <w:sz w:val="24"/>
      <w:szCs w:val="24"/>
    </w:rPr>
  </w:style>
  <w:style w:type="character" w:customStyle="1" w:styleId="cf01">
    <w:name w:val="cf01"/>
    <w:basedOn w:val="DefaultParagraphFont"/>
    <w:rsid w:val="00E363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2958">
      <w:bodyDiv w:val="1"/>
      <w:marLeft w:val="0"/>
      <w:marRight w:val="0"/>
      <w:marTop w:val="0"/>
      <w:marBottom w:val="0"/>
      <w:divBdr>
        <w:top w:val="none" w:sz="0" w:space="0" w:color="auto"/>
        <w:left w:val="none" w:sz="0" w:space="0" w:color="auto"/>
        <w:bottom w:val="none" w:sz="0" w:space="0" w:color="auto"/>
        <w:right w:val="none" w:sz="0" w:space="0" w:color="auto"/>
      </w:divBdr>
    </w:div>
    <w:div w:id="29577038">
      <w:bodyDiv w:val="1"/>
      <w:marLeft w:val="0"/>
      <w:marRight w:val="0"/>
      <w:marTop w:val="0"/>
      <w:marBottom w:val="0"/>
      <w:divBdr>
        <w:top w:val="none" w:sz="0" w:space="0" w:color="auto"/>
        <w:left w:val="none" w:sz="0" w:space="0" w:color="auto"/>
        <w:bottom w:val="none" w:sz="0" w:space="0" w:color="auto"/>
        <w:right w:val="none" w:sz="0" w:space="0" w:color="auto"/>
      </w:divBdr>
      <w:divsChild>
        <w:div w:id="469323161">
          <w:marLeft w:val="0"/>
          <w:marRight w:val="0"/>
          <w:marTop w:val="0"/>
          <w:marBottom w:val="0"/>
          <w:divBdr>
            <w:top w:val="none" w:sz="0" w:space="0" w:color="auto"/>
            <w:left w:val="none" w:sz="0" w:space="0" w:color="auto"/>
            <w:bottom w:val="none" w:sz="0" w:space="0" w:color="auto"/>
            <w:right w:val="none" w:sz="0" w:space="0" w:color="auto"/>
          </w:divBdr>
        </w:div>
        <w:div w:id="1390810249">
          <w:marLeft w:val="0"/>
          <w:marRight w:val="0"/>
          <w:marTop w:val="0"/>
          <w:marBottom w:val="0"/>
          <w:divBdr>
            <w:top w:val="none" w:sz="0" w:space="0" w:color="auto"/>
            <w:left w:val="none" w:sz="0" w:space="0" w:color="auto"/>
            <w:bottom w:val="none" w:sz="0" w:space="0" w:color="auto"/>
            <w:right w:val="none" w:sz="0" w:space="0" w:color="auto"/>
          </w:divBdr>
        </w:div>
        <w:div w:id="1503621297">
          <w:marLeft w:val="0"/>
          <w:marRight w:val="0"/>
          <w:marTop w:val="0"/>
          <w:marBottom w:val="0"/>
          <w:divBdr>
            <w:top w:val="none" w:sz="0" w:space="0" w:color="auto"/>
            <w:left w:val="none" w:sz="0" w:space="0" w:color="auto"/>
            <w:bottom w:val="none" w:sz="0" w:space="0" w:color="auto"/>
            <w:right w:val="none" w:sz="0" w:space="0" w:color="auto"/>
          </w:divBdr>
        </w:div>
      </w:divsChild>
    </w:div>
    <w:div w:id="156188608">
      <w:bodyDiv w:val="1"/>
      <w:marLeft w:val="0"/>
      <w:marRight w:val="0"/>
      <w:marTop w:val="0"/>
      <w:marBottom w:val="0"/>
      <w:divBdr>
        <w:top w:val="none" w:sz="0" w:space="0" w:color="auto"/>
        <w:left w:val="none" w:sz="0" w:space="0" w:color="auto"/>
        <w:bottom w:val="none" w:sz="0" w:space="0" w:color="auto"/>
        <w:right w:val="none" w:sz="0" w:space="0" w:color="auto"/>
      </w:divBdr>
    </w:div>
    <w:div w:id="224146720">
      <w:bodyDiv w:val="1"/>
      <w:marLeft w:val="0"/>
      <w:marRight w:val="0"/>
      <w:marTop w:val="0"/>
      <w:marBottom w:val="0"/>
      <w:divBdr>
        <w:top w:val="none" w:sz="0" w:space="0" w:color="auto"/>
        <w:left w:val="none" w:sz="0" w:space="0" w:color="auto"/>
        <w:bottom w:val="none" w:sz="0" w:space="0" w:color="auto"/>
        <w:right w:val="none" w:sz="0" w:space="0" w:color="auto"/>
      </w:divBdr>
      <w:divsChild>
        <w:div w:id="850293843">
          <w:marLeft w:val="0"/>
          <w:marRight w:val="0"/>
          <w:marTop w:val="0"/>
          <w:marBottom w:val="0"/>
          <w:divBdr>
            <w:top w:val="none" w:sz="0" w:space="0" w:color="auto"/>
            <w:left w:val="none" w:sz="0" w:space="0" w:color="auto"/>
            <w:bottom w:val="none" w:sz="0" w:space="0" w:color="auto"/>
            <w:right w:val="none" w:sz="0" w:space="0" w:color="auto"/>
          </w:divBdr>
        </w:div>
        <w:div w:id="1857112059">
          <w:marLeft w:val="0"/>
          <w:marRight w:val="0"/>
          <w:marTop w:val="0"/>
          <w:marBottom w:val="0"/>
          <w:divBdr>
            <w:top w:val="none" w:sz="0" w:space="0" w:color="auto"/>
            <w:left w:val="none" w:sz="0" w:space="0" w:color="auto"/>
            <w:bottom w:val="none" w:sz="0" w:space="0" w:color="auto"/>
            <w:right w:val="none" w:sz="0" w:space="0" w:color="auto"/>
          </w:divBdr>
          <w:divsChild>
            <w:div w:id="652218095">
              <w:marLeft w:val="0"/>
              <w:marRight w:val="0"/>
              <w:marTop w:val="0"/>
              <w:marBottom w:val="0"/>
              <w:divBdr>
                <w:top w:val="none" w:sz="0" w:space="0" w:color="auto"/>
                <w:left w:val="none" w:sz="0" w:space="0" w:color="auto"/>
                <w:bottom w:val="none" w:sz="0" w:space="0" w:color="auto"/>
                <w:right w:val="none" w:sz="0" w:space="0" w:color="auto"/>
              </w:divBdr>
            </w:div>
            <w:div w:id="710691278">
              <w:marLeft w:val="0"/>
              <w:marRight w:val="0"/>
              <w:marTop w:val="0"/>
              <w:marBottom w:val="0"/>
              <w:divBdr>
                <w:top w:val="none" w:sz="0" w:space="0" w:color="auto"/>
                <w:left w:val="none" w:sz="0" w:space="0" w:color="auto"/>
                <w:bottom w:val="none" w:sz="0" w:space="0" w:color="auto"/>
                <w:right w:val="none" w:sz="0" w:space="0" w:color="auto"/>
              </w:divBdr>
            </w:div>
            <w:div w:id="929579427">
              <w:marLeft w:val="0"/>
              <w:marRight w:val="0"/>
              <w:marTop w:val="0"/>
              <w:marBottom w:val="0"/>
              <w:divBdr>
                <w:top w:val="none" w:sz="0" w:space="0" w:color="auto"/>
                <w:left w:val="none" w:sz="0" w:space="0" w:color="auto"/>
                <w:bottom w:val="none" w:sz="0" w:space="0" w:color="auto"/>
                <w:right w:val="none" w:sz="0" w:space="0" w:color="auto"/>
              </w:divBdr>
            </w:div>
            <w:div w:id="1481001628">
              <w:marLeft w:val="0"/>
              <w:marRight w:val="0"/>
              <w:marTop w:val="0"/>
              <w:marBottom w:val="0"/>
              <w:divBdr>
                <w:top w:val="none" w:sz="0" w:space="0" w:color="auto"/>
                <w:left w:val="none" w:sz="0" w:space="0" w:color="auto"/>
                <w:bottom w:val="none" w:sz="0" w:space="0" w:color="auto"/>
                <w:right w:val="none" w:sz="0" w:space="0" w:color="auto"/>
              </w:divBdr>
            </w:div>
            <w:div w:id="1720011647">
              <w:marLeft w:val="0"/>
              <w:marRight w:val="0"/>
              <w:marTop w:val="0"/>
              <w:marBottom w:val="0"/>
              <w:divBdr>
                <w:top w:val="none" w:sz="0" w:space="0" w:color="auto"/>
                <w:left w:val="none" w:sz="0" w:space="0" w:color="auto"/>
                <w:bottom w:val="none" w:sz="0" w:space="0" w:color="auto"/>
                <w:right w:val="none" w:sz="0" w:space="0" w:color="auto"/>
              </w:divBdr>
            </w:div>
            <w:div w:id="198909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428642">
      <w:bodyDiv w:val="1"/>
      <w:marLeft w:val="0"/>
      <w:marRight w:val="0"/>
      <w:marTop w:val="0"/>
      <w:marBottom w:val="0"/>
      <w:divBdr>
        <w:top w:val="none" w:sz="0" w:space="0" w:color="auto"/>
        <w:left w:val="none" w:sz="0" w:space="0" w:color="auto"/>
        <w:bottom w:val="none" w:sz="0" w:space="0" w:color="auto"/>
        <w:right w:val="none" w:sz="0" w:space="0" w:color="auto"/>
      </w:divBdr>
    </w:div>
    <w:div w:id="304705659">
      <w:bodyDiv w:val="1"/>
      <w:marLeft w:val="0"/>
      <w:marRight w:val="0"/>
      <w:marTop w:val="0"/>
      <w:marBottom w:val="0"/>
      <w:divBdr>
        <w:top w:val="none" w:sz="0" w:space="0" w:color="auto"/>
        <w:left w:val="none" w:sz="0" w:space="0" w:color="auto"/>
        <w:bottom w:val="none" w:sz="0" w:space="0" w:color="auto"/>
        <w:right w:val="none" w:sz="0" w:space="0" w:color="auto"/>
      </w:divBdr>
    </w:div>
    <w:div w:id="507334794">
      <w:bodyDiv w:val="1"/>
      <w:marLeft w:val="0"/>
      <w:marRight w:val="0"/>
      <w:marTop w:val="0"/>
      <w:marBottom w:val="0"/>
      <w:divBdr>
        <w:top w:val="none" w:sz="0" w:space="0" w:color="auto"/>
        <w:left w:val="none" w:sz="0" w:space="0" w:color="auto"/>
        <w:bottom w:val="none" w:sz="0" w:space="0" w:color="auto"/>
        <w:right w:val="none" w:sz="0" w:space="0" w:color="auto"/>
      </w:divBdr>
    </w:div>
    <w:div w:id="516117406">
      <w:bodyDiv w:val="1"/>
      <w:marLeft w:val="0"/>
      <w:marRight w:val="0"/>
      <w:marTop w:val="0"/>
      <w:marBottom w:val="0"/>
      <w:divBdr>
        <w:top w:val="none" w:sz="0" w:space="0" w:color="auto"/>
        <w:left w:val="none" w:sz="0" w:space="0" w:color="auto"/>
        <w:bottom w:val="none" w:sz="0" w:space="0" w:color="auto"/>
        <w:right w:val="none" w:sz="0" w:space="0" w:color="auto"/>
      </w:divBdr>
      <w:divsChild>
        <w:div w:id="62342093">
          <w:marLeft w:val="0"/>
          <w:marRight w:val="0"/>
          <w:marTop w:val="0"/>
          <w:marBottom w:val="0"/>
          <w:divBdr>
            <w:top w:val="none" w:sz="0" w:space="0" w:color="auto"/>
            <w:left w:val="none" w:sz="0" w:space="0" w:color="auto"/>
            <w:bottom w:val="none" w:sz="0" w:space="0" w:color="auto"/>
            <w:right w:val="none" w:sz="0" w:space="0" w:color="auto"/>
          </w:divBdr>
        </w:div>
        <w:div w:id="1018655408">
          <w:marLeft w:val="0"/>
          <w:marRight w:val="0"/>
          <w:marTop w:val="0"/>
          <w:marBottom w:val="0"/>
          <w:divBdr>
            <w:top w:val="none" w:sz="0" w:space="0" w:color="auto"/>
            <w:left w:val="none" w:sz="0" w:space="0" w:color="auto"/>
            <w:bottom w:val="none" w:sz="0" w:space="0" w:color="auto"/>
            <w:right w:val="none" w:sz="0" w:space="0" w:color="auto"/>
          </w:divBdr>
        </w:div>
        <w:div w:id="1248731109">
          <w:marLeft w:val="0"/>
          <w:marRight w:val="0"/>
          <w:marTop w:val="0"/>
          <w:marBottom w:val="0"/>
          <w:divBdr>
            <w:top w:val="none" w:sz="0" w:space="0" w:color="auto"/>
            <w:left w:val="none" w:sz="0" w:space="0" w:color="auto"/>
            <w:bottom w:val="none" w:sz="0" w:space="0" w:color="auto"/>
            <w:right w:val="none" w:sz="0" w:space="0" w:color="auto"/>
          </w:divBdr>
        </w:div>
        <w:div w:id="1702631874">
          <w:marLeft w:val="0"/>
          <w:marRight w:val="0"/>
          <w:marTop w:val="0"/>
          <w:marBottom w:val="0"/>
          <w:divBdr>
            <w:top w:val="none" w:sz="0" w:space="0" w:color="auto"/>
            <w:left w:val="none" w:sz="0" w:space="0" w:color="auto"/>
            <w:bottom w:val="none" w:sz="0" w:space="0" w:color="auto"/>
            <w:right w:val="none" w:sz="0" w:space="0" w:color="auto"/>
          </w:divBdr>
        </w:div>
        <w:div w:id="2091385956">
          <w:marLeft w:val="0"/>
          <w:marRight w:val="0"/>
          <w:marTop w:val="0"/>
          <w:marBottom w:val="0"/>
          <w:divBdr>
            <w:top w:val="none" w:sz="0" w:space="0" w:color="auto"/>
            <w:left w:val="none" w:sz="0" w:space="0" w:color="auto"/>
            <w:bottom w:val="none" w:sz="0" w:space="0" w:color="auto"/>
            <w:right w:val="none" w:sz="0" w:space="0" w:color="auto"/>
          </w:divBdr>
        </w:div>
      </w:divsChild>
    </w:div>
    <w:div w:id="536698296">
      <w:bodyDiv w:val="1"/>
      <w:marLeft w:val="0"/>
      <w:marRight w:val="0"/>
      <w:marTop w:val="0"/>
      <w:marBottom w:val="0"/>
      <w:divBdr>
        <w:top w:val="none" w:sz="0" w:space="0" w:color="auto"/>
        <w:left w:val="none" w:sz="0" w:space="0" w:color="auto"/>
        <w:bottom w:val="none" w:sz="0" w:space="0" w:color="auto"/>
        <w:right w:val="none" w:sz="0" w:space="0" w:color="auto"/>
      </w:divBdr>
    </w:div>
    <w:div w:id="557785906">
      <w:bodyDiv w:val="1"/>
      <w:marLeft w:val="0"/>
      <w:marRight w:val="0"/>
      <w:marTop w:val="0"/>
      <w:marBottom w:val="0"/>
      <w:divBdr>
        <w:top w:val="none" w:sz="0" w:space="0" w:color="auto"/>
        <w:left w:val="none" w:sz="0" w:space="0" w:color="auto"/>
        <w:bottom w:val="none" w:sz="0" w:space="0" w:color="auto"/>
        <w:right w:val="none" w:sz="0" w:space="0" w:color="auto"/>
      </w:divBdr>
    </w:div>
    <w:div w:id="582296671">
      <w:bodyDiv w:val="1"/>
      <w:marLeft w:val="0"/>
      <w:marRight w:val="0"/>
      <w:marTop w:val="0"/>
      <w:marBottom w:val="0"/>
      <w:divBdr>
        <w:top w:val="none" w:sz="0" w:space="0" w:color="auto"/>
        <w:left w:val="none" w:sz="0" w:space="0" w:color="auto"/>
        <w:bottom w:val="none" w:sz="0" w:space="0" w:color="auto"/>
        <w:right w:val="none" w:sz="0" w:space="0" w:color="auto"/>
      </w:divBdr>
    </w:div>
    <w:div w:id="650060289">
      <w:bodyDiv w:val="1"/>
      <w:marLeft w:val="0"/>
      <w:marRight w:val="0"/>
      <w:marTop w:val="0"/>
      <w:marBottom w:val="0"/>
      <w:divBdr>
        <w:top w:val="none" w:sz="0" w:space="0" w:color="auto"/>
        <w:left w:val="none" w:sz="0" w:space="0" w:color="auto"/>
        <w:bottom w:val="none" w:sz="0" w:space="0" w:color="auto"/>
        <w:right w:val="none" w:sz="0" w:space="0" w:color="auto"/>
      </w:divBdr>
      <w:divsChild>
        <w:div w:id="922223110">
          <w:marLeft w:val="0"/>
          <w:marRight w:val="0"/>
          <w:marTop w:val="0"/>
          <w:marBottom w:val="0"/>
          <w:divBdr>
            <w:top w:val="none" w:sz="0" w:space="0" w:color="auto"/>
            <w:left w:val="none" w:sz="0" w:space="0" w:color="auto"/>
            <w:bottom w:val="none" w:sz="0" w:space="0" w:color="auto"/>
            <w:right w:val="none" w:sz="0" w:space="0" w:color="auto"/>
          </w:divBdr>
        </w:div>
        <w:div w:id="1412967515">
          <w:marLeft w:val="0"/>
          <w:marRight w:val="0"/>
          <w:marTop w:val="0"/>
          <w:marBottom w:val="0"/>
          <w:divBdr>
            <w:top w:val="none" w:sz="0" w:space="0" w:color="auto"/>
            <w:left w:val="none" w:sz="0" w:space="0" w:color="auto"/>
            <w:bottom w:val="none" w:sz="0" w:space="0" w:color="auto"/>
            <w:right w:val="none" w:sz="0" w:space="0" w:color="auto"/>
          </w:divBdr>
        </w:div>
        <w:div w:id="1767266167">
          <w:marLeft w:val="0"/>
          <w:marRight w:val="0"/>
          <w:marTop w:val="0"/>
          <w:marBottom w:val="0"/>
          <w:divBdr>
            <w:top w:val="none" w:sz="0" w:space="0" w:color="auto"/>
            <w:left w:val="none" w:sz="0" w:space="0" w:color="auto"/>
            <w:bottom w:val="none" w:sz="0" w:space="0" w:color="auto"/>
            <w:right w:val="none" w:sz="0" w:space="0" w:color="auto"/>
          </w:divBdr>
        </w:div>
      </w:divsChild>
    </w:div>
    <w:div w:id="685638553">
      <w:bodyDiv w:val="1"/>
      <w:marLeft w:val="0"/>
      <w:marRight w:val="0"/>
      <w:marTop w:val="0"/>
      <w:marBottom w:val="0"/>
      <w:divBdr>
        <w:top w:val="none" w:sz="0" w:space="0" w:color="auto"/>
        <w:left w:val="none" w:sz="0" w:space="0" w:color="auto"/>
        <w:bottom w:val="none" w:sz="0" w:space="0" w:color="auto"/>
        <w:right w:val="none" w:sz="0" w:space="0" w:color="auto"/>
      </w:divBdr>
    </w:div>
    <w:div w:id="752893030">
      <w:bodyDiv w:val="1"/>
      <w:marLeft w:val="0"/>
      <w:marRight w:val="0"/>
      <w:marTop w:val="0"/>
      <w:marBottom w:val="0"/>
      <w:divBdr>
        <w:top w:val="none" w:sz="0" w:space="0" w:color="auto"/>
        <w:left w:val="none" w:sz="0" w:space="0" w:color="auto"/>
        <w:bottom w:val="none" w:sz="0" w:space="0" w:color="auto"/>
        <w:right w:val="none" w:sz="0" w:space="0" w:color="auto"/>
      </w:divBdr>
    </w:div>
    <w:div w:id="781650045">
      <w:bodyDiv w:val="1"/>
      <w:marLeft w:val="0"/>
      <w:marRight w:val="0"/>
      <w:marTop w:val="0"/>
      <w:marBottom w:val="0"/>
      <w:divBdr>
        <w:top w:val="none" w:sz="0" w:space="0" w:color="auto"/>
        <w:left w:val="none" w:sz="0" w:space="0" w:color="auto"/>
        <w:bottom w:val="none" w:sz="0" w:space="0" w:color="auto"/>
        <w:right w:val="none" w:sz="0" w:space="0" w:color="auto"/>
      </w:divBdr>
      <w:divsChild>
        <w:div w:id="337005731">
          <w:marLeft w:val="0"/>
          <w:marRight w:val="0"/>
          <w:marTop w:val="0"/>
          <w:marBottom w:val="0"/>
          <w:divBdr>
            <w:top w:val="none" w:sz="0" w:space="0" w:color="auto"/>
            <w:left w:val="none" w:sz="0" w:space="0" w:color="auto"/>
            <w:bottom w:val="none" w:sz="0" w:space="0" w:color="auto"/>
            <w:right w:val="none" w:sz="0" w:space="0" w:color="auto"/>
          </w:divBdr>
          <w:divsChild>
            <w:div w:id="896668230">
              <w:marLeft w:val="0"/>
              <w:marRight w:val="0"/>
              <w:marTop w:val="0"/>
              <w:marBottom w:val="0"/>
              <w:divBdr>
                <w:top w:val="none" w:sz="0" w:space="0" w:color="auto"/>
                <w:left w:val="none" w:sz="0" w:space="0" w:color="auto"/>
                <w:bottom w:val="none" w:sz="0" w:space="0" w:color="auto"/>
                <w:right w:val="none" w:sz="0" w:space="0" w:color="auto"/>
              </w:divBdr>
            </w:div>
            <w:div w:id="902909369">
              <w:marLeft w:val="0"/>
              <w:marRight w:val="0"/>
              <w:marTop w:val="0"/>
              <w:marBottom w:val="0"/>
              <w:divBdr>
                <w:top w:val="none" w:sz="0" w:space="0" w:color="auto"/>
                <w:left w:val="none" w:sz="0" w:space="0" w:color="auto"/>
                <w:bottom w:val="none" w:sz="0" w:space="0" w:color="auto"/>
                <w:right w:val="none" w:sz="0" w:space="0" w:color="auto"/>
              </w:divBdr>
            </w:div>
          </w:divsChild>
        </w:div>
        <w:div w:id="1072115584">
          <w:marLeft w:val="0"/>
          <w:marRight w:val="0"/>
          <w:marTop w:val="0"/>
          <w:marBottom w:val="0"/>
          <w:divBdr>
            <w:top w:val="none" w:sz="0" w:space="0" w:color="auto"/>
            <w:left w:val="none" w:sz="0" w:space="0" w:color="auto"/>
            <w:bottom w:val="none" w:sz="0" w:space="0" w:color="auto"/>
            <w:right w:val="none" w:sz="0" w:space="0" w:color="auto"/>
          </w:divBdr>
        </w:div>
        <w:div w:id="1172719190">
          <w:marLeft w:val="0"/>
          <w:marRight w:val="0"/>
          <w:marTop w:val="0"/>
          <w:marBottom w:val="0"/>
          <w:divBdr>
            <w:top w:val="none" w:sz="0" w:space="0" w:color="auto"/>
            <w:left w:val="none" w:sz="0" w:space="0" w:color="auto"/>
            <w:bottom w:val="none" w:sz="0" w:space="0" w:color="auto"/>
            <w:right w:val="none" w:sz="0" w:space="0" w:color="auto"/>
          </w:divBdr>
        </w:div>
        <w:div w:id="1891109281">
          <w:marLeft w:val="0"/>
          <w:marRight w:val="0"/>
          <w:marTop w:val="0"/>
          <w:marBottom w:val="0"/>
          <w:divBdr>
            <w:top w:val="none" w:sz="0" w:space="0" w:color="auto"/>
            <w:left w:val="none" w:sz="0" w:space="0" w:color="auto"/>
            <w:bottom w:val="none" w:sz="0" w:space="0" w:color="auto"/>
            <w:right w:val="none" w:sz="0" w:space="0" w:color="auto"/>
          </w:divBdr>
          <w:divsChild>
            <w:div w:id="536620245">
              <w:marLeft w:val="0"/>
              <w:marRight w:val="0"/>
              <w:marTop w:val="0"/>
              <w:marBottom w:val="0"/>
              <w:divBdr>
                <w:top w:val="none" w:sz="0" w:space="0" w:color="auto"/>
                <w:left w:val="none" w:sz="0" w:space="0" w:color="auto"/>
                <w:bottom w:val="none" w:sz="0" w:space="0" w:color="auto"/>
                <w:right w:val="none" w:sz="0" w:space="0" w:color="auto"/>
              </w:divBdr>
            </w:div>
            <w:div w:id="1173644731">
              <w:marLeft w:val="0"/>
              <w:marRight w:val="0"/>
              <w:marTop w:val="0"/>
              <w:marBottom w:val="0"/>
              <w:divBdr>
                <w:top w:val="none" w:sz="0" w:space="0" w:color="auto"/>
                <w:left w:val="none" w:sz="0" w:space="0" w:color="auto"/>
                <w:bottom w:val="none" w:sz="0" w:space="0" w:color="auto"/>
                <w:right w:val="none" w:sz="0" w:space="0" w:color="auto"/>
              </w:divBdr>
            </w:div>
            <w:div w:id="1413895753">
              <w:marLeft w:val="0"/>
              <w:marRight w:val="0"/>
              <w:marTop w:val="0"/>
              <w:marBottom w:val="0"/>
              <w:divBdr>
                <w:top w:val="none" w:sz="0" w:space="0" w:color="auto"/>
                <w:left w:val="none" w:sz="0" w:space="0" w:color="auto"/>
                <w:bottom w:val="none" w:sz="0" w:space="0" w:color="auto"/>
                <w:right w:val="none" w:sz="0" w:space="0" w:color="auto"/>
              </w:divBdr>
            </w:div>
            <w:div w:id="1824197652">
              <w:marLeft w:val="0"/>
              <w:marRight w:val="0"/>
              <w:marTop w:val="0"/>
              <w:marBottom w:val="0"/>
              <w:divBdr>
                <w:top w:val="none" w:sz="0" w:space="0" w:color="auto"/>
                <w:left w:val="none" w:sz="0" w:space="0" w:color="auto"/>
                <w:bottom w:val="none" w:sz="0" w:space="0" w:color="auto"/>
                <w:right w:val="none" w:sz="0" w:space="0" w:color="auto"/>
              </w:divBdr>
            </w:div>
          </w:divsChild>
        </w:div>
        <w:div w:id="2003507059">
          <w:marLeft w:val="0"/>
          <w:marRight w:val="0"/>
          <w:marTop w:val="0"/>
          <w:marBottom w:val="0"/>
          <w:divBdr>
            <w:top w:val="none" w:sz="0" w:space="0" w:color="auto"/>
            <w:left w:val="none" w:sz="0" w:space="0" w:color="auto"/>
            <w:bottom w:val="none" w:sz="0" w:space="0" w:color="auto"/>
            <w:right w:val="none" w:sz="0" w:space="0" w:color="auto"/>
          </w:divBdr>
          <w:divsChild>
            <w:div w:id="6762718">
              <w:marLeft w:val="0"/>
              <w:marRight w:val="0"/>
              <w:marTop w:val="0"/>
              <w:marBottom w:val="0"/>
              <w:divBdr>
                <w:top w:val="none" w:sz="0" w:space="0" w:color="auto"/>
                <w:left w:val="none" w:sz="0" w:space="0" w:color="auto"/>
                <w:bottom w:val="none" w:sz="0" w:space="0" w:color="auto"/>
                <w:right w:val="none" w:sz="0" w:space="0" w:color="auto"/>
              </w:divBdr>
            </w:div>
            <w:div w:id="370376396">
              <w:marLeft w:val="0"/>
              <w:marRight w:val="0"/>
              <w:marTop w:val="0"/>
              <w:marBottom w:val="0"/>
              <w:divBdr>
                <w:top w:val="none" w:sz="0" w:space="0" w:color="auto"/>
                <w:left w:val="none" w:sz="0" w:space="0" w:color="auto"/>
                <w:bottom w:val="none" w:sz="0" w:space="0" w:color="auto"/>
                <w:right w:val="none" w:sz="0" w:space="0" w:color="auto"/>
              </w:divBdr>
            </w:div>
            <w:div w:id="144303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082960">
      <w:bodyDiv w:val="1"/>
      <w:marLeft w:val="0"/>
      <w:marRight w:val="0"/>
      <w:marTop w:val="0"/>
      <w:marBottom w:val="0"/>
      <w:divBdr>
        <w:top w:val="none" w:sz="0" w:space="0" w:color="auto"/>
        <w:left w:val="none" w:sz="0" w:space="0" w:color="auto"/>
        <w:bottom w:val="none" w:sz="0" w:space="0" w:color="auto"/>
        <w:right w:val="none" w:sz="0" w:space="0" w:color="auto"/>
      </w:divBdr>
    </w:div>
    <w:div w:id="856382744">
      <w:bodyDiv w:val="1"/>
      <w:marLeft w:val="0"/>
      <w:marRight w:val="0"/>
      <w:marTop w:val="0"/>
      <w:marBottom w:val="0"/>
      <w:divBdr>
        <w:top w:val="none" w:sz="0" w:space="0" w:color="auto"/>
        <w:left w:val="none" w:sz="0" w:space="0" w:color="auto"/>
        <w:bottom w:val="none" w:sz="0" w:space="0" w:color="auto"/>
        <w:right w:val="none" w:sz="0" w:space="0" w:color="auto"/>
      </w:divBdr>
    </w:div>
    <w:div w:id="887641075">
      <w:bodyDiv w:val="1"/>
      <w:marLeft w:val="0"/>
      <w:marRight w:val="0"/>
      <w:marTop w:val="0"/>
      <w:marBottom w:val="0"/>
      <w:divBdr>
        <w:top w:val="none" w:sz="0" w:space="0" w:color="auto"/>
        <w:left w:val="none" w:sz="0" w:space="0" w:color="auto"/>
        <w:bottom w:val="none" w:sz="0" w:space="0" w:color="auto"/>
        <w:right w:val="none" w:sz="0" w:space="0" w:color="auto"/>
      </w:divBdr>
    </w:div>
    <w:div w:id="943541497">
      <w:bodyDiv w:val="1"/>
      <w:marLeft w:val="0"/>
      <w:marRight w:val="0"/>
      <w:marTop w:val="0"/>
      <w:marBottom w:val="0"/>
      <w:divBdr>
        <w:top w:val="none" w:sz="0" w:space="0" w:color="auto"/>
        <w:left w:val="none" w:sz="0" w:space="0" w:color="auto"/>
        <w:bottom w:val="none" w:sz="0" w:space="0" w:color="auto"/>
        <w:right w:val="none" w:sz="0" w:space="0" w:color="auto"/>
      </w:divBdr>
    </w:div>
    <w:div w:id="957951579">
      <w:bodyDiv w:val="1"/>
      <w:marLeft w:val="0"/>
      <w:marRight w:val="0"/>
      <w:marTop w:val="0"/>
      <w:marBottom w:val="0"/>
      <w:divBdr>
        <w:top w:val="none" w:sz="0" w:space="0" w:color="auto"/>
        <w:left w:val="none" w:sz="0" w:space="0" w:color="auto"/>
        <w:bottom w:val="none" w:sz="0" w:space="0" w:color="auto"/>
        <w:right w:val="none" w:sz="0" w:space="0" w:color="auto"/>
      </w:divBdr>
      <w:divsChild>
        <w:div w:id="270430931">
          <w:marLeft w:val="0"/>
          <w:marRight w:val="0"/>
          <w:marTop w:val="0"/>
          <w:marBottom w:val="0"/>
          <w:divBdr>
            <w:top w:val="none" w:sz="0" w:space="0" w:color="auto"/>
            <w:left w:val="none" w:sz="0" w:space="0" w:color="auto"/>
            <w:bottom w:val="none" w:sz="0" w:space="0" w:color="auto"/>
            <w:right w:val="none" w:sz="0" w:space="0" w:color="auto"/>
          </w:divBdr>
        </w:div>
      </w:divsChild>
    </w:div>
    <w:div w:id="1005129796">
      <w:bodyDiv w:val="1"/>
      <w:marLeft w:val="0"/>
      <w:marRight w:val="0"/>
      <w:marTop w:val="0"/>
      <w:marBottom w:val="0"/>
      <w:divBdr>
        <w:top w:val="none" w:sz="0" w:space="0" w:color="auto"/>
        <w:left w:val="none" w:sz="0" w:space="0" w:color="auto"/>
        <w:bottom w:val="none" w:sz="0" w:space="0" w:color="auto"/>
        <w:right w:val="none" w:sz="0" w:space="0" w:color="auto"/>
      </w:divBdr>
    </w:div>
    <w:div w:id="1057128332">
      <w:bodyDiv w:val="1"/>
      <w:marLeft w:val="0"/>
      <w:marRight w:val="0"/>
      <w:marTop w:val="0"/>
      <w:marBottom w:val="0"/>
      <w:divBdr>
        <w:top w:val="none" w:sz="0" w:space="0" w:color="auto"/>
        <w:left w:val="none" w:sz="0" w:space="0" w:color="auto"/>
        <w:bottom w:val="none" w:sz="0" w:space="0" w:color="auto"/>
        <w:right w:val="none" w:sz="0" w:space="0" w:color="auto"/>
      </w:divBdr>
      <w:divsChild>
        <w:div w:id="1128627614">
          <w:marLeft w:val="0"/>
          <w:marRight w:val="0"/>
          <w:marTop w:val="0"/>
          <w:marBottom w:val="0"/>
          <w:divBdr>
            <w:top w:val="none" w:sz="0" w:space="0" w:color="auto"/>
            <w:left w:val="none" w:sz="0" w:space="0" w:color="auto"/>
            <w:bottom w:val="none" w:sz="0" w:space="0" w:color="auto"/>
            <w:right w:val="none" w:sz="0" w:space="0" w:color="auto"/>
          </w:divBdr>
        </w:div>
        <w:div w:id="1325086198">
          <w:marLeft w:val="0"/>
          <w:marRight w:val="0"/>
          <w:marTop w:val="0"/>
          <w:marBottom w:val="0"/>
          <w:divBdr>
            <w:top w:val="none" w:sz="0" w:space="0" w:color="auto"/>
            <w:left w:val="none" w:sz="0" w:space="0" w:color="auto"/>
            <w:bottom w:val="none" w:sz="0" w:space="0" w:color="auto"/>
            <w:right w:val="none" w:sz="0" w:space="0" w:color="auto"/>
          </w:divBdr>
        </w:div>
        <w:div w:id="1580020909">
          <w:marLeft w:val="0"/>
          <w:marRight w:val="0"/>
          <w:marTop w:val="0"/>
          <w:marBottom w:val="0"/>
          <w:divBdr>
            <w:top w:val="none" w:sz="0" w:space="0" w:color="auto"/>
            <w:left w:val="none" w:sz="0" w:space="0" w:color="auto"/>
            <w:bottom w:val="none" w:sz="0" w:space="0" w:color="auto"/>
            <w:right w:val="none" w:sz="0" w:space="0" w:color="auto"/>
          </w:divBdr>
        </w:div>
      </w:divsChild>
    </w:div>
    <w:div w:id="1082337520">
      <w:bodyDiv w:val="1"/>
      <w:marLeft w:val="0"/>
      <w:marRight w:val="0"/>
      <w:marTop w:val="0"/>
      <w:marBottom w:val="0"/>
      <w:divBdr>
        <w:top w:val="none" w:sz="0" w:space="0" w:color="auto"/>
        <w:left w:val="none" w:sz="0" w:space="0" w:color="auto"/>
        <w:bottom w:val="none" w:sz="0" w:space="0" w:color="auto"/>
        <w:right w:val="none" w:sz="0" w:space="0" w:color="auto"/>
      </w:divBdr>
    </w:div>
    <w:div w:id="1135024390">
      <w:bodyDiv w:val="1"/>
      <w:marLeft w:val="0"/>
      <w:marRight w:val="0"/>
      <w:marTop w:val="0"/>
      <w:marBottom w:val="0"/>
      <w:divBdr>
        <w:top w:val="none" w:sz="0" w:space="0" w:color="auto"/>
        <w:left w:val="none" w:sz="0" w:space="0" w:color="auto"/>
        <w:bottom w:val="none" w:sz="0" w:space="0" w:color="auto"/>
        <w:right w:val="none" w:sz="0" w:space="0" w:color="auto"/>
      </w:divBdr>
    </w:div>
    <w:div w:id="1195314869">
      <w:bodyDiv w:val="1"/>
      <w:marLeft w:val="0"/>
      <w:marRight w:val="0"/>
      <w:marTop w:val="0"/>
      <w:marBottom w:val="0"/>
      <w:divBdr>
        <w:top w:val="none" w:sz="0" w:space="0" w:color="auto"/>
        <w:left w:val="none" w:sz="0" w:space="0" w:color="auto"/>
        <w:bottom w:val="none" w:sz="0" w:space="0" w:color="auto"/>
        <w:right w:val="none" w:sz="0" w:space="0" w:color="auto"/>
      </w:divBdr>
    </w:div>
    <w:div w:id="1200050956">
      <w:bodyDiv w:val="1"/>
      <w:marLeft w:val="0"/>
      <w:marRight w:val="0"/>
      <w:marTop w:val="0"/>
      <w:marBottom w:val="0"/>
      <w:divBdr>
        <w:top w:val="none" w:sz="0" w:space="0" w:color="auto"/>
        <w:left w:val="none" w:sz="0" w:space="0" w:color="auto"/>
        <w:bottom w:val="none" w:sz="0" w:space="0" w:color="auto"/>
        <w:right w:val="none" w:sz="0" w:space="0" w:color="auto"/>
      </w:divBdr>
    </w:div>
    <w:div w:id="1206600604">
      <w:bodyDiv w:val="1"/>
      <w:marLeft w:val="0"/>
      <w:marRight w:val="0"/>
      <w:marTop w:val="0"/>
      <w:marBottom w:val="0"/>
      <w:divBdr>
        <w:top w:val="none" w:sz="0" w:space="0" w:color="auto"/>
        <w:left w:val="none" w:sz="0" w:space="0" w:color="auto"/>
        <w:bottom w:val="none" w:sz="0" w:space="0" w:color="auto"/>
        <w:right w:val="none" w:sz="0" w:space="0" w:color="auto"/>
      </w:divBdr>
    </w:div>
    <w:div w:id="1228222600">
      <w:bodyDiv w:val="1"/>
      <w:marLeft w:val="0"/>
      <w:marRight w:val="0"/>
      <w:marTop w:val="0"/>
      <w:marBottom w:val="0"/>
      <w:divBdr>
        <w:top w:val="none" w:sz="0" w:space="0" w:color="auto"/>
        <w:left w:val="none" w:sz="0" w:space="0" w:color="auto"/>
        <w:bottom w:val="none" w:sz="0" w:space="0" w:color="auto"/>
        <w:right w:val="none" w:sz="0" w:space="0" w:color="auto"/>
      </w:divBdr>
    </w:div>
    <w:div w:id="1235160259">
      <w:bodyDiv w:val="1"/>
      <w:marLeft w:val="0"/>
      <w:marRight w:val="0"/>
      <w:marTop w:val="0"/>
      <w:marBottom w:val="0"/>
      <w:divBdr>
        <w:top w:val="none" w:sz="0" w:space="0" w:color="auto"/>
        <w:left w:val="none" w:sz="0" w:space="0" w:color="auto"/>
        <w:bottom w:val="none" w:sz="0" w:space="0" w:color="auto"/>
        <w:right w:val="none" w:sz="0" w:space="0" w:color="auto"/>
      </w:divBdr>
    </w:div>
    <w:div w:id="1338265101">
      <w:bodyDiv w:val="1"/>
      <w:marLeft w:val="0"/>
      <w:marRight w:val="0"/>
      <w:marTop w:val="0"/>
      <w:marBottom w:val="0"/>
      <w:divBdr>
        <w:top w:val="none" w:sz="0" w:space="0" w:color="auto"/>
        <w:left w:val="none" w:sz="0" w:space="0" w:color="auto"/>
        <w:bottom w:val="none" w:sz="0" w:space="0" w:color="auto"/>
        <w:right w:val="none" w:sz="0" w:space="0" w:color="auto"/>
      </w:divBdr>
    </w:div>
    <w:div w:id="1378160901">
      <w:bodyDiv w:val="1"/>
      <w:marLeft w:val="0"/>
      <w:marRight w:val="0"/>
      <w:marTop w:val="0"/>
      <w:marBottom w:val="0"/>
      <w:divBdr>
        <w:top w:val="none" w:sz="0" w:space="0" w:color="auto"/>
        <w:left w:val="none" w:sz="0" w:space="0" w:color="auto"/>
        <w:bottom w:val="none" w:sz="0" w:space="0" w:color="auto"/>
        <w:right w:val="none" w:sz="0" w:space="0" w:color="auto"/>
      </w:divBdr>
    </w:div>
    <w:div w:id="1459184468">
      <w:bodyDiv w:val="1"/>
      <w:marLeft w:val="0"/>
      <w:marRight w:val="0"/>
      <w:marTop w:val="0"/>
      <w:marBottom w:val="0"/>
      <w:divBdr>
        <w:top w:val="none" w:sz="0" w:space="0" w:color="auto"/>
        <w:left w:val="none" w:sz="0" w:space="0" w:color="auto"/>
        <w:bottom w:val="none" w:sz="0" w:space="0" w:color="auto"/>
        <w:right w:val="none" w:sz="0" w:space="0" w:color="auto"/>
      </w:divBdr>
    </w:div>
    <w:div w:id="1487209482">
      <w:bodyDiv w:val="1"/>
      <w:marLeft w:val="0"/>
      <w:marRight w:val="0"/>
      <w:marTop w:val="0"/>
      <w:marBottom w:val="0"/>
      <w:divBdr>
        <w:top w:val="none" w:sz="0" w:space="0" w:color="auto"/>
        <w:left w:val="none" w:sz="0" w:space="0" w:color="auto"/>
        <w:bottom w:val="none" w:sz="0" w:space="0" w:color="auto"/>
        <w:right w:val="none" w:sz="0" w:space="0" w:color="auto"/>
      </w:divBdr>
    </w:div>
    <w:div w:id="1579359455">
      <w:bodyDiv w:val="1"/>
      <w:marLeft w:val="0"/>
      <w:marRight w:val="0"/>
      <w:marTop w:val="0"/>
      <w:marBottom w:val="0"/>
      <w:divBdr>
        <w:top w:val="none" w:sz="0" w:space="0" w:color="auto"/>
        <w:left w:val="none" w:sz="0" w:space="0" w:color="auto"/>
        <w:bottom w:val="none" w:sz="0" w:space="0" w:color="auto"/>
        <w:right w:val="none" w:sz="0" w:space="0" w:color="auto"/>
      </w:divBdr>
    </w:div>
    <w:div w:id="1579365836">
      <w:bodyDiv w:val="1"/>
      <w:marLeft w:val="0"/>
      <w:marRight w:val="0"/>
      <w:marTop w:val="0"/>
      <w:marBottom w:val="0"/>
      <w:divBdr>
        <w:top w:val="none" w:sz="0" w:space="0" w:color="auto"/>
        <w:left w:val="none" w:sz="0" w:space="0" w:color="auto"/>
        <w:bottom w:val="none" w:sz="0" w:space="0" w:color="auto"/>
        <w:right w:val="none" w:sz="0" w:space="0" w:color="auto"/>
      </w:divBdr>
    </w:div>
    <w:div w:id="1656030960">
      <w:bodyDiv w:val="1"/>
      <w:marLeft w:val="0"/>
      <w:marRight w:val="0"/>
      <w:marTop w:val="0"/>
      <w:marBottom w:val="0"/>
      <w:divBdr>
        <w:top w:val="none" w:sz="0" w:space="0" w:color="auto"/>
        <w:left w:val="none" w:sz="0" w:space="0" w:color="auto"/>
        <w:bottom w:val="none" w:sz="0" w:space="0" w:color="auto"/>
        <w:right w:val="none" w:sz="0" w:space="0" w:color="auto"/>
      </w:divBdr>
    </w:div>
    <w:div w:id="1746294258">
      <w:bodyDiv w:val="1"/>
      <w:marLeft w:val="0"/>
      <w:marRight w:val="0"/>
      <w:marTop w:val="0"/>
      <w:marBottom w:val="0"/>
      <w:divBdr>
        <w:top w:val="none" w:sz="0" w:space="0" w:color="auto"/>
        <w:left w:val="none" w:sz="0" w:space="0" w:color="auto"/>
        <w:bottom w:val="none" w:sz="0" w:space="0" w:color="auto"/>
        <w:right w:val="none" w:sz="0" w:space="0" w:color="auto"/>
      </w:divBdr>
    </w:div>
    <w:div w:id="1775711905">
      <w:bodyDiv w:val="1"/>
      <w:marLeft w:val="0"/>
      <w:marRight w:val="0"/>
      <w:marTop w:val="0"/>
      <w:marBottom w:val="0"/>
      <w:divBdr>
        <w:top w:val="none" w:sz="0" w:space="0" w:color="auto"/>
        <w:left w:val="none" w:sz="0" w:space="0" w:color="auto"/>
        <w:bottom w:val="none" w:sz="0" w:space="0" w:color="auto"/>
        <w:right w:val="none" w:sz="0" w:space="0" w:color="auto"/>
      </w:divBdr>
    </w:div>
    <w:div w:id="1864858238">
      <w:bodyDiv w:val="1"/>
      <w:marLeft w:val="0"/>
      <w:marRight w:val="0"/>
      <w:marTop w:val="0"/>
      <w:marBottom w:val="0"/>
      <w:divBdr>
        <w:top w:val="none" w:sz="0" w:space="0" w:color="auto"/>
        <w:left w:val="none" w:sz="0" w:space="0" w:color="auto"/>
        <w:bottom w:val="none" w:sz="0" w:space="0" w:color="auto"/>
        <w:right w:val="none" w:sz="0" w:space="0" w:color="auto"/>
      </w:divBdr>
    </w:div>
    <w:div w:id="1872106682">
      <w:bodyDiv w:val="1"/>
      <w:marLeft w:val="0"/>
      <w:marRight w:val="0"/>
      <w:marTop w:val="0"/>
      <w:marBottom w:val="0"/>
      <w:divBdr>
        <w:top w:val="none" w:sz="0" w:space="0" w:color="auto"/>
        <w:left w:val="none" w:sz="0" w:space="0" w:color="auto"/>
        <w:bottom w:val="none" w:sz="0" w:space="0" w:color="auto"/>
        <w:right w:val="none" w:sz="0" w:space="0" w:color="auto"/>
      </w:divBdr>
      <w:divsChild>
        <w:div w:id="116800124">
          <w:marLeft w:val="0"/>
          <w:marRight w:val="0"/>
          <w:marTop w:val="0"/>
          <w:marBottom w:val="0"/>
          <w:divBdr>
            <w:top w:val="none" w:sz="0" w:space="0" w:color="auto"/>
            <w:left w:val="none" w:sz="0" w:space="0" w:color="auto"/>
            <w:bottom w:val="none" w:sz="0" w:space="0" w:color="auto"/>
            <w:right w:val="none" w:sz="0" w:space="0" w:color="auto"/>
          </w:divBdr>
          <w:divsChild>
            <w:div w:id="388235879">
              <w:marLeft w:val="0"/>
              <w:marRight w:val="0"/>
              <w:marTop w:val="0"/>
              <w:marBottom w:val="0"/>
              <w:divBdr>
                <w:top w:val="none" w:sz="0" w:space="0" w:color="auto"/>
                <w:left w:val="none" w:sz="0" w:space="0" w:color="auto"/>
                <w:bottom w:val="none" w:sz="0" w:space="0" w:color="auto"/>
                <w:right w:val="none" w:sz="0" w:space="0" w:color="auto"/>
              </w:divBdr>
            </w:div>
            <w:div w:id="645551149">
              <w:marLeft w:val="0"/>
              <w:marRight w:val="0"/>
              <w:marTop w:val="0"/>
              <w:marBottom w:val="0"/>
              <w:divBdr>
                <w:top w:val="none" w:sz="0" w:space="0" w:color="auto"/>
                <w:left w:val="none" w:sz="0" w:space="0" w:color="auto"/>
                <w:bottom w:val="none" w:sz="0" w:space="0" w:color="auto"/>
                <w:right w:val="none" w:sz="0" w:space="0" w:color="auto"/>
              </w:divBdr>
            </w:div>
            <w:div w:id="783814897">
              <w:marLeft w:val="0"/>
              <w:marRight w:val="0"/>
              <w:marTop w:val="0"/>
              <w:marBottom w:val="0"/>
              <w:divBdr>
                <w:top w:val="none" w:sz="0" w:space="0" w:color="auto"/>
                <w:left w:val="none" w:sz="0" w:space="0" w:color="auto"/>
                <w:bottom w:val="none" w:sz="0" w:space="0" w:color="auto"/>
                <w:right w:val="none" w:sz="0" w:space="0" w:color="auto"/>
              </w:divBdr>
            </w:div>
            <w:div w:id="1541747295">
              <w:marLeft w:val="0"/>
              <w:marRight w:val="0"/>
              <w:marTop w:val="0"/>
              <w:marBottom w:val="0"/>
              <w:divBdr>
                <w:top w:val="none" w:sz="0" w:space="0" w:color="auto"/>
                <w:left w:val="none" w:sz="0" w:space="0" w:color="auto"/>
                <w:bottom w:val="none" w:sz="0" w:space="0" w:color="auto"/>
                <w:right w:val="none" w:sz="0" w:space="0" w:color="auto"/>
              </w:divBdr>
            </w:div>
          </w:divsChild>
        </w:div>
        <w:div w:id="352925492">
          <w:marLeft w:val="0"/>
          <w:marRight w:val="0"/>
          <w:marTop w:val="0"/>
          <w:marBottom w:val="0"/>
          <w:divBdr>
            <w:top w:val="none" w:sz="0" w:space="0" w:color="auto"/>
            <w:left w:val="none" w:sz="0" w:space="0" w:color="auto"/>
            <w:bottom w:val="none" w:sz="0" w:space="0" w:color="auto"/>
            <w:right w:val="none" w:sz="0" w:space="0" w:color="auto"/>
          </w:divBdr>
          <w:divsChild>
            <w:div w:id="169219077">
              <w:marLeft w:val="0"/>
              <w:marRight w:val="0"/>
              <w:marTop w:val="0"/>
              <w:marBottom w:val="0"/>
              <w:divBdr>
                <w:top w:val="none" w:sz="0" w:space="0" w:color="auto"/>
                <w:left w:val="none" w:sz="0" w:space="0" w:color="auto"/>
                <w:bottom w:val="none" w:sz="0" w:space="0" w:color="auto"/>
                <w:right w:val="none" w:sz="0" w:space="0" w:color="auto"/>
              </w:divBdr>
            </w:div>
            <w:div w:id="198933162">
              <w:marLeft w:val="0"/>
              <w:marRight w:val="0"/>
              <w:marTop w:val="0"/>
              <w:marBottom w:val="0"/>
              <w:divBdr>
                <w:top w:val="none" w:sz="0" w:space="0" w:color="auto"/>
                <w:left w:val="none" w:sz="0" w:space="0" w:color="auto"/>
                <w:bottom w:val="none" w:sz="0" w:space="0" w:color="auto"/>
                <w:right w:val="none" w:sz="0" w:space="0" w:color="auto"/>
              </w:divBdr>
            </w:div>
            <w:div w:id="873732205">
              <w:marLeft w:val="0"/>
              <w:marRight w:val="0"/>
              <w:marTop w:val="0"/>
              <w:marBottom w:val="0"/>
              <w:divBdr>
                <w:top w:val="none" w:sz="0" w:space="0" w:color="auto"/>
                <w:left w:val="none" w:sz="0" w:space="0" w:color="auto"/>
                <w:bottom w:val="none" w:sz="0" w:space="0" w:color="auto"/>
                <w:right w:val="none" w:sz="0" w:space="0" w:color="auto"/>
              </w:divBdr>
            </w:div>
          </w:divsChild>
        </w:div>
        <w:div w:id="392391959">
          <w:marLeft w:val="0"/>
          <w:marRight w:val="0"/>
          <w:marTop w:val="0"/>
          <w:marBottom w:val="0"/>
          <w:divBdr>
            <w:top w:val="none" w:sz="0" w:space="0" w:color="auto"/>
            <w:left w:val="none" w:sz="0" w:space="0" w:color="auto"/>
            <w:bottom w:val="none" w:sz="0" w:space="0" w:color="auto"/>
            <w:right w:val="none" w:sz="0" w:space="0" w:color="auto"/>
          </w:divBdr>
        </w:div>
        <w:div w:id="710569681">
          <w:marLeft w:val="0"/>
          <w:marRight w:val="0"/>
          <w:marTop w:val="0"/>
          <w:marBottom w:val="0"/>
          <w:divBdr>
            <w:top w:val="none" w:sz="0" w:space="0" w:color="auto"/>
            <w:left w:val="none" w:sz="0" w:space="0" w:color="auto"/>
            <w:bottom w:val="none" w:sz="0" w:space="0" w:color="auto"/>
            <w:right w:val="none" w:sz="0" w:space="0" w:color="auto"/>
          </w:divBdr>
          <w:divsChild>
            <w:div w:id="385224933">
              <w:marLeft w:val="0"/>
              <w:marRight w:val="0"/>
              <w:marTop w:val="0"/>
              <w:marBottom w:val="0"/>
              <w:divBdr>
                <w:top w:val="none" w:sz="0" w:space="0" w:color="auto"/>
                <w:left w:val="none" w:sz="0" w:space="0" w:color="auto"/>
                <w:bottom w:val="none" w:sz="0" w:space="0" w:color="auto"/>
                <w:right w:val="none" w:sz="0" w:space="0" w:color="auto"/>
              </w:divBdr>
            </w:div>
            <w:div w:id="2116828038">
              <w:marLeft w:val="0"/>
              <w:marRight w:val="0"/>
              <w:marTop w:val="0"/>
              <w:marBottom w:val="0"/>
              <w:divBdr>
                <w:top w:val="none" w:sz="0" w:space="0" w:color="auto"/>
                <w:left w:val="none" w:sz="0" w:space="0" w:color="auto"/>
                <w:bottom w:val="none" w:sz="0" w:space="0" w:color="auto"/>
                <w:right w:val="none" w:sz="0" w:space="0" w:color="auto"/>
              </w:divBdr>
            </w:div>
          </w:divsChild>
        </w:div>
        <w:div w:id="728646851">
          <w:marLeft w:val="0"/>
          <w:marRight w:val="0"/>
          <w:marTop w:val="0"/>
          <w:marBottom w:val="0"/>
          <w:divBdr>
            <w:top w:val="none" w:sz="0" w:space="0" w:color="auto"/>
            <w:left w:val="none" w:sz="0" w:space="0" w:color="auto"/>
            <w:bottom w:val="none" w:sz="0" w:space="0" w:color="auto"/>
            <w:right w:val="none" w:sz="0" w:space="0" w:color="auto"/>
          </w:divBdr>
        </w:div>
      </w:divsChild>
    </w:div>
    <w:div w:id="1897889404">
      <w:bodyDiv w:val="1"/>
      <w:marLeft w:val="0"/>
      <w:marRight w:val="0"/>
      <w:marTop w:val="0"/>
      <w:marBottom w:val="0"/>
      <w:divBdr>
        <w:top w:val="none" w:sz="0" w:space="0" w:color="auto"/>
        <w:left w:val="none" w:sz="0" w:space="0" w:color="auto"/>
        <w:bottom w:val="none" w:sz="0" w:space="0" w:color="auto"/>
        <w:right w:val="none" w:sz="0" w:space="0" w:color="auto"/>
      </w:divBdr>
    </w:div>
    <w:div w:id="1898394310">
      <w:bodyDiv w:val="1"/>
      <w:marLeft w:val="0"/>
      <w:marRight w:val="0"/>
      <w:marTop w:val="0"/>
      <w:marBottom w:val="0"/>
      <w:divBdr>
        <w:top w:val="none" w:sz="0" w:space="0" w:color="auto"/>
        <w:left w:val="none" w:sz="0" w:space="0" w:color="auto"/>
        <w:bottom w:val="none" w:sz="0" w:space="0" w:color="auto"/>
        <w:right w:val="none" w:sz="0" w:space="0" w:color="auto"/>
      </w:divBdr>
    </w:div>
    <w:div w:id="1983457591">
      <w:bodyDiv w:val="1"/>
      <w:marLeft w:val="0"/>
      <w:marRight w:val="0"/>
      <w:marTop w:val="0"/>
      <w:marBottom w:val="0"/>
      <w:divBdr>
        <w:top w:val="none" w:sz="0" w:space="0" w:color="auto"/>
        <w:left w:val="none" w:sz="0" w:space="0" w:color="auto"/>
        <w:bottom w:val="none" w:sz="0" w:space="0" w:color="auto"/>
        <w:right w:val="none" w:sz="0" w:space="0" w:color="auto"/>
      </w:divBdr>
      <w:divsChild>
        <w:div w:id="1086262830">
          <w:marLeft w:val="0"/>
          <w:marRight w:val="0"/>
          <w:marTop w:val="0"/>
          <w:marBottom w:val="0"/>
          <w:divBdr>
            <w:top w:val="none" w:sz="0" w:space="0" w:color="auto"/>
            <w:left w:val="none" w:sz="0" w:space="0" w:color="auto"/>
            <w:bottom w:val="none" w:sz="0" w:space="0" w:color="auto"/>
            <w:right w:val="none" w:sz="0" w:space="0" w:color="auto"/>
          </w:divBdr>
        </w:div>
        <w:div w:id="1091775510">
          <w:marLeft w:val="0"/>
          <w:marRight w:val="0"/>
          <w:marTop w:val="0"/>
          <w:marBottom w:val="0"/>
          <w:divBdr>
            <w:top w:val="none" w:sz="0" w:space="0" w:color="auto"/>
            <w:left w:val="none" w:sz="0" w:space="0" w:color="auto"/>
            <w:bottom w:val="none" w:sz="0" w:space="0" w:color="auto"/>
            <w:right w:val="none" w:sz="0" w:space="0" w:color="auto"/>
          </w:divBdr>
        </w:div>
        <w:div w:id="1933775265">
          <w:marLeft w:val="0"/>
          <w:marRight w:val="0"/>
          <w:marTop w:val="0"/>
          <w:marBottom w:val="0"/>
          <w:divBdr>
            <w:top w:val="none" w:sz="0" w:space="0" w:color="auto"/>
            <w:left w:val="none" w:sz="0" w:space="0" w:color="auto"/>
            <w:bottom w:val="none" w:sz="0" w:space="0" w:color="auto"/>
            <w:right w:val="none" w:sz="0" w:space="0" w:color="auto"/>
          </w:divBdr>
        </w:div>
      </w:divsChild>
    </w:div>
    <w:div w:id="2002728902">
      <w:bodyDiv w:val="1"/>
      <w:marLeft w:val="0"/>
      <w:marRight w:val="0"/>
      <w:marTop w:val="0"/>
      <w:marBottom w:val="0"/>
      <w:divBdr>
        <w:top w:val="none" w:sz="0" w:space="0" w:color="auto"/>
        <w:left w:val="none" w:sz="0" w:space="0" w:color="auto"/>
        <w:bottom w:val="none" w:sz="0" w:space="0" w:color="auto"/>
        <w:right w:val="none" w:sz="0" w:space="0" w:color="auto"/>
      </w:divBdr>
    </w:div>
    <w:div w:id="2096903452">
      <w:bodyDiv w:val="1"/>
      <w:marLeft w:val="0"/>
      <w:marRight w:val="0"/>
      <w:marTop w:val="0"/>
      <w:marBottom w:val="0"/>
      <w:divBdr>
        <w:top w:val="none" w:sz="0" w:space="0" w:color="auto"/>
        <w:left w:val="none" w:sz="0" w:space="0" w:color="auto"/>
        <w:bottom w:val="none" w:sz="0" w:space="0" w:color="auto"/>
        <w:right w:val="none" w:sz="0" w:space="0" w:color="auto"/>
      </w:divBdr>
    </w:div>
    <w:div w:id="2100903437">
      <w:bodyDiv w:val="1"/>
      <w:marLeft w:val="0"/>
      <w:marRight w:val="0"/>
      <w:marTop w:val="0"/>
      <w:marBottom w:val="0"/>
      <w:divBdr>
        <w:top w:val="none" w:sz="0" w:space="0" w:color="auto"/>
        <w:left w:val="none" w:sz="0" w:space="0" w:color="auto"/>
        <w:bottom w:val="none" w:sz="0" w:space="0" w:color="auto"/>
        <w:right w:val="none" w:sz="0" w:space="0" w:color="auto"/>
      </w:divBdr>
    </w:div>
    <w:div w:id="2146854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RBI5PAMIO524-1616901215-8863</_dlc_DocId>
    <HideFromDelve xmlns="71c5aaf6-e6ce-465b-b873-5148d2a4c105">false</HideFromDelve>
    <_dlc_DocIdUrl xmlns="71c5aaf6-e6ce-465b-b873-5148d2a4c105">
      <Url>https://nokia.sharepoint.com/sites/gxp/_layouts/15/DocIdRedir.aspx?ID=RBI5PAMIO524-1616901215-8863</Url>
      <Description>RBI5PAMIO524-1616901215-8863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13D10-8742-4ACF-BB2B-43D0CF653120}">
  <ds:schemaRefs>
    <ds:schemaRef ds:uri="http://schemas.microsoft.com/sharepoint/v3/contenttype/forms"/>
  </ds:schemaRefs>
</ds:datastoreItem>
</file>

<file path=customXml/itemProps2.xml><?xml version="1.0" encoding="utf-8"?>
<ds:datastoreItem xmlns:ds="http://schemas.openxmlformats.org/officeDocument/2006/customXml" ds:itemID="{9DCB2981-72A2-4084-8C41-514AEF282A34}">
  <ds:schemaRefs>
    <ds:schemaRef ds:uri="Microsoft.SharePoint.Taxonomy.ContentTypeSync"/>
  </ds:schemaRefs>
</ds:datastoreItem>
</file>

<file path=customXml/itemProps3.xml><?xml version="1.0" encoding="utf-8"?>
<ds:datastoreItem xmlns:ds="http://schemas.openxmlformats.org/officeDocument/2006/customXml" ds:itemID="{CC3E7B8C-6A8C-411B-9B0A-1E20030CC0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7CFA8C-A478-46BB-B1A7-87AF44D7DD0B}">
  <ds:schemaRefs>
    <ds:schemaRef ds:uri="http://schemas.microsoft.com/office/2006/documentManagement/types"/>
    <ds:schemaRef ds:uri="71c5aaf6-e6ce-465b-b873-5148d2a4c105"/>
    <ds:schemaRef ds:uri="http://schemas.microsoft.com/office/infopath/2007/PartnerControls"/>
    <ds:schemaRef ds:uri="http://schemas.microsoft.com/office/2006/metadata/properties"/>
    <ds:schemaRef ds:uri="3f2ce089-3858-4176-9a21-a30f9204848e"/>
    <ds:schemaRef ds:uri="http://www.w3.org/XML/1998/namespace"/>
    <ds:schemaRef ds:uri="http://purl.org/dc/elements/1.1/"/>
    <ds:schemaRef ds:uri="http://purl.org/dc/terms/"/>
    <ds:schemaRef ds:uri="7275bb01-7583-478d-bc14-e839a2dd5989"/>
    <ds:schemaRef ds:uri="http://schemas.openxmlformats.org/package/2006/metadata/core-properties"/>
    <ds:schemaRef ds:uri="http://purl.org/dc/dcmitype/"/>
  </ds:schemaRefs>
</ds:datastoreItem>
</file>

<file path=customXml/itemProps5.xml><?xml version="1.0" encoding="utf-8"?>
<ds:datastoreItem xmlns:ds="http://schemas.openxmlformats.org/officeDocument/2006/customXml" ds:itemID="{A5908AA7-3FBA-4240-A8F6-5AEA35168671}">
  <ds:schemaRefs>
    <ds:schemaRef ds:uri="http://schemas.microsoft.com/sharepoint/events"/>
  </ds:schemaRefs>
</ds:datastoreItem>
</file>

<file path=customXml/itemProps6.xml><?xml version="1.0" encoding="utf-8"?>
<ds:datastoreItem xmlns:ds="http://schemas.openxmlformats.org/officeDocument/2006/customXml" ds:itemID="{FB1361B0-3A70-4963-87C1-016E1B5FBC1A}">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3075</Words>
  <Characters>17534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20568</CharactersWithSpaces>
  <SharedDoc>false</SharedDoc>
  <HLinks>
    <vt:vector size="84" baseType="variant">
      <vt:variant>
        <vt:i4>1507388</vt:i4>
      </vt:variant>
      <vt:variant>
        <vt:i4>50</vt:i4>
      </vt:variant>
      <vt:variant>
        <vt:i4>0</vt:i4>
      </vt:variant>
      <vt:variant>
        <vt:i4>5</vt:i4>
      </vt:variant>
      <vt:variant>
        <vt:lpwstr/>
      </vt:variant>
      <vt:variant>
        <vt:lpwstr>_Toc159231764</vt:lpwstr>
      </vt:variant>
      <vt:variant>
        <vt:i4>1507388</vt:i4>
      </vt:variant>
      <vt:variant>
        <vt:i4>47</vt:i4>
      </vt:variant>
      <vt:variant>
        <vt:i4>0</vt:i4>
      </vt:variant>
      <vt:variant>
        <vt:i4>5</vt:i4>
      </vt:variant>
      <vt:variant>
        <vt:lpwstr/>
      </vt:variant>
      <vt:variant>
        <vt:lpwstr>_Toc159231763</vt:lpwstr>
      </vt:variant>
      <vt:variant>
        <vt:i4>1507388</vt:i4>
      </vt:variant>
      <vt:variant>
        <vt:i4>44</vt:i4>
      </vt:variant>
      <vt:variant>
        <vt:i4>0</vt:i4>
      </vt:variant>
      <vt:variant>
        <vt:i4>5</vt:i4>
      </vt:variant>
      <vt:variant>
        <vt:lpwstr/>
      </vt:variant>
      <vt:variant>
        <vt:lpwstr>_Toc159231762</vt:lpwstr>
      </vt:variant>
      <vt:variant>
        <vt:i4>1507388</vt:i4>
      </vt:variant>
      <vt:variant>
        <vt:i4>41</vt:i4>
      </vt:variant>
      <vt:variant>
        <vt:i4>0</vt:i4>
      </vt:variant>
      <vt:variant>
        <vt:i4>5</vt:i4>
      </vt:variant>
      <vt:variant>
        <vt:lpwstr/>
      </vt:variant>
      <vt:variant>
        <vt:lpwstr>_Toc159231761</vt:lpwstr>
      </vt:variant>
      <vt:variant>
        <vt:i4>1507388</vt:i4>
      </vt:variant>
      <vt:variant>
        <vt:i4>38</vt:i4>
      </vt:variant>
      <vt:variant>
        <vt:i4>0</vt:i4>
      </vt:variant>
      <vt:variant>
        <vt:i4>5</vt:i4>
      </vt:variant>
      <vt:variant>
        <vt:lpwstr/>
      </vt:variant>
      <vt:variant>
        <vt:lpwstr>_Toc159231760</vt:lpwstr>
      </vt:variant>
      <vt:variant>
        <vt:i4>1310780</vt:i4>
      </vt:variant>
      <vt:variant>
        <vt:i4>35</vt:i4>
      </vt:variant>
      <vt:variant>
        <vt:i4>0</vt:i4>
      </vt:variant>
      <vt:variant>
        <vt:i4>5</vt:i4>
      </vt:variant>
      <vt:variant>
        <vt:lpwstr/>
      </vt:variant>
      <vt:variant>
        <vt:lpwstr>_Toc159231759</vt:lpwstr>
      </vt:variant>
      <vt:variant>
        <vt:i4>1310780</vt:i4>
      </vt:variant>
      <vt:variant>
        <vt:i4>32</vt:i4>
      </vt:variant>
      <vt:variant>
        <vt:i4>0</vt:i4>
      </vt:variant>
      <vt:variant>
        <vt:i4>5</vt:i4>
      </vt:variant>
      <vt:variant>
        <vt:lpwstr/>
      </vt:variant>
      <vt:variant>
        <vt:lpwstr>_Toc159231758</vt:lpwstr>
      </vt:variant>
      <vt:variant>
        <vt:i4>1310780</vt:i4>
      </vt:variant>
      <vt:variant>
        <vt:i4>29</vt:i4>
      </vt:variant>
      <vt:variant>
        <vt:i4>0</vt:i4>
      </vt:variant>
      <vt:variant>
        <vt:i4>5</vt:i4>
      </vt:variant>
      <vt:variant>
        <vt:lpwstr/>
      </vt:variant>
      <vt:variant>
        <vt:lpwstr>_Toc159231757</vt:lpwstr>
      </vt:variant>
      <vt:variant>
        <vt:i4>1310780</vt:i4>
      </vt:variant>
      <vt:variant>
        <vt:i4>26</vt:i4>
      </vt:variant>
      <vt:variant>
        <vt:i4>0</vt:i4>
      </vt:variant>
      <vt:variant>
        <vt:i4>5</vt:i4>
      </vt:variant>
      <vt:variant>
        <vt:lpwstr/>
      </vt:variant>
      <vt:variant>
        <vt:lpwstr>_Toc159231756</vt:lpwstr>
      </vt:variant>
      <vt:variant>
        <vt:i4>1310780</vt:i4>
      </vt:variant>
      <vt:variant>
        <vt:i4>23</vt:i4>
      </vt:variant>
      <vt:variant>
        <vt:i4>0</vt:i4>
      </vt:variant>
      <vt:variant>
        <vt:i4>5</vt:i4>
      </vt:variant>
      <vt:variant>
        <vt:lpwstr/>
      </vt:variant>
      <vt:variant>
        <vt:lpwstr>_Toc159231755</vt:lpwstr>
      </vt:variant>
      <vt:variant>
        <vt:i4>1310780</vt:i4>
      </vt:variant>
      <vt:variant>
        <vt:i4>20</vt:i4>
      </vt:variant>
      <vt:variant>
        <vt:i4>0</vt:i4>
      </vt:variant>
      <vt:variant>
        <vt:i4>5</vt:i4>
      </vt:variant>
      <vt:variant>
        <vt:lpwstr/>
      </vt:variant>
      <vt:variant>
        <vt:lpwstr>_Toc159231754</vt:lpwstr>
      </vt:variant>
      <vt:variant>
        <vt:i4>1310780</vt:i4>
      </vt:variant>
      <vt:variant>
        <vt:i4>17</vt:i4>
      </vt:variant>
      <vt:variant>
        <vt:i4>0</vt:i4>
      </vt:variant>
      <vt:variant>
        <vt:i4>5</vt:i4>
      </vt:variant>
      <vt:variant>
        <vt:lpwstr/>
      </vt:variant>
      <vt:variant>
        <vt:lpwstr>_Toc159231753</vt:lpwstr>
      </vt:variant>
      <vt:variant>
        <vt:i4>1310780</vt:i4>
      </vt:variant>
      <vt:variant>
        <vt:i4>14</vt:i4>
      </vt:variant>
      <vt:variant>
        <vt:i4>0</vt:i4>
      </vt:variant>
      <vt:variant>
        <vt:i4>5</vt:i4>
      </vt:variant>
      <vt:variant>
        <vt:lpwstr/>
      </vt:variant>
      <vt:variant>
        <vt:lpwstr>_Toc159231752</vt:lpwstr>
      </vt:variant>
      <vt:variant>
        <vt:i4>1310780</vt:i4>
      </vt:variant>
      <vt:variant>
        <vt:i4>11</vt:i4>
      </vt:variant>
      <vt:variant>
        <vt:i4>0</vt:i4>
      </vt:variant>
      <vt:variant>
        <vt:i4>5</vt:i4>
      </vt:variant>
      <vt:variant>
        <vt:lpwstr/>
      </vt:variant>
      <vt:variant>
        <vt:lpwstr>_Toc159231751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2024-02-19T10:47:00Z</dcterms:created>
  <dcterms:modified xsi:type="dcterms:W3CDTF">2024-02-19T10:47:00Z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2123200</vt:r8>
  </property>
  <property fmtid="{D5CDD505-2E9C-101B-9397-08002B2CF9AE}" pid="3" name="MSIP_Label_b1aa2129-79ec-42c0-bfac-e5b7a0374572_Enabled">
    <vt:lpwstr>true</vt:lpwstr>
  </property>
  <property fmtid="{D5CDD505-2E9C-101B-9397-08002B2CF9AE}" pid="4" name="MediaServiceImageTags">
    <vt:lpwstr/>
  </property>
  <property fmtid="{D5CDD505-2E9C-101B-9397-08002B2CF9AE}" pid="5" name="xd_ProgID">
    <vt:lpwstr/>
  </property>
  <property fmtid="{D5CDD505-2E9C-101B-9397-08002B2CF9AE}" pid="6" name="MSIP_Label_b1aa2129-79ec-42c0-bfac-e5b7a0374572_ActionId">
    <vt:lpwstr>683be814-a3ef-4ea6-b9b9-ccc5970dcbc1</vt:lpwstr>
  </property>
  <property fmtid="{D5CDD505-2E9C-101B-9397-08002B2CF9AE}" pid="7" name="ContentTypeId">
    <vt:lpwstr>0x01010055A05E76B664164F9F76E63E6D6BE6ED</vt:lpwstr>
  </property>
  <property fmtid="{D5CDD505-2E9C-101B-9397-08002B2CF9AE}" pid="8" name="MSIP_Label_b1aa2129-79ec-42c0-bfac-e5b7a0374572_SetDate">
    <vt:lpwstr>2021-09-16T07:35:33Z</vt:lpwstr>
  </property>
  <property fmtid="{D5CDD505-2E9C-101B-9397-08002B2CF9AE}" pid="9" name="TemplateUrl">
    <vt:lpwstr/>
  </property>
  <property fmtid="{D5CDD505-2E9C-101B-9397-08002B2CF9AE}" pid="10" name="_dlc_DocIdItemGuid">
    <vt:lpwstr>7812da72-7935-4ae2-b77d-7e9f036a85c7</vt:lpwstr>
  </property>
  <property fmtid="{D5CDD505-2E9C-101B-9397-08002B2CF9AE}" pid="11" name="MSIP_Label_b1aa2129-79ec-42c0-bfac-e5b7a0374572_ContentBits">
    <vt:lpwstr>0</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Method">
    <vt:lpwstr>Privileged</vt:lpwstr>
  </property>
  <property fmtid="{D5CDD505-2E9C-101B-9397-08002B2CF9AE}" pid="14" name="MSIP_Label_b1aa2129-79ec-42c0-bfac-e5b7a0374572_SiteId">
    <vt:lpwstr>5d471751-9675-428d-917b-70f44f9630b0</vt:lpwstr>
  </property>
  <property fmtid="{D5CDD505-2E9C-101B-9397-08002B2CF9AE}" pid="15" name="_CopySource">
    <vt:lpwstr>https://nokia.sharepoint.com/sites/c5g/5gradio/RAN4 5G Documents/RAN4 106bis e-meeting/Rel-18/NR_FR2_multiRX_DL/MRx RRM/Contributions/forSubmission_final/R4-2304054_Discussion_MultiRx_RRM_Receive_Time_Difference.docx</vt:lpwstr>
  </property>
  <property fmtid="{D5CDD505-2E9C-101B-9397-08002B2CF9AE}" pid="16" name="_ExtendedDescription">
    <vt:lpwstr/>
  </property>
</Properties>
</file>